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5B40A">
      <w:pPr>
        <w:jc w:val="center"/>
        <w:rPr>
          <w:rFonts w:ascii="宋体" w:hAnsi="宋体"/>
          <w:b/>
          <w:sz w:val="32"/>
          <w:szCs w:val="32"/>
        </w:rPr>
      </w:pPr>
      <w:r>
        <w:rPr>
          <w:rFonts w:hint="eastAsia" w:ascii="宋体" w:hAnsi="宋体"/>
          <w:b/>
          <w:sz w:val="32"/>
          <w:szCs w:val="32"/>
        </w:rPr>
        <w:t>布吉金稻田片区城市更新单元三期公交首木站等4个配套工程公交首末站交通专项设计-询价公告</w:t>
      </w:r>
    </w:p>
    <w:p w14:paraId="0B121187">
      <w:pPr>
        <w:pStyle w:val="11"/>
        <w:numPr>
          <w:ilvl w:val="0"/>
          <w:numId w:val="1"/>
        </w:numPr>
        <w:ind w:firstLineChars="0"/>
        <w:jc w:val="left"/>
        <w:rPr>
          <w:rFonts w:ascii="宋体" w:hAnsi="宋体"/>
          <w:b/>
          <w:sz w:val="28"/>
          <w:szCs w:val="28"/>
        </w:rPr>
      </w:pPr>
      <w:r>
        <w:rPr>
          <w:rFonts w:hint="eastAsia" w:ascii="宋体" w:hAnsi="宋体"/>
          <w:b/>
          <w:sz w:val="28"/>
          <w:szCs w:val="28"/>
        </w:rPr>
        <w:t>采购项目名称：</w:t>
      </w:r>
    </w:p>
    <w:p w14:paraId="6C35A397">
      <w:pPr>
        <w:spacing w:line="360" w:lineRule="auto"/>
        <w:ind w:firstLine="560" w:firstLineChars="200"/>
        <w:jc w:val="left"/>
        <w:rPr>
          <w:rFonts w:ascii="宋体" w:hAnsi="宋体"/>
          <w:sz w:val="28"/>
          <w:szCs w:val="28"/>
        </w:rPr>
      </w:pPr>
      <w:r>
        <w:rPr>
          <w:rFonts w:hint="eastAsia" w:ascii="宋体" w:hAnsi="宋体"/>
          <w:sz w:val="28"/>
          <w:szCs w:val="28"/>
        </w:rPr>
        <w:t>布吉金稻田片区城市更新单元三期公交首木站等4个配套工程公交首末站交通专项设计</w:t>
      </w:r>
    </w:p>
    <w:p w14:paraId="69B40DF1">
      <w:pPr>
        <w:spacing w:line="360" w:lineRule="auto"/>
        <w:ind w:firstLine="560" w:firstLineChars="200"/>
        <w:jc w:val="left"/>
        <w:rPr>
          <w:rFonts w:ascii="宋体" w:hAnsi="宋体"/>
          <w:sz w:val="28"/>
          <w:szCs w:val="28"/>
        </w:rPr>
      </w:pPr>
      <w:r>
        <w:rPr>
          <w:rFonts w:hint="eastAsia" w:ascii="宋体" w:hAnsi="宋体"/>
          <w:sz w:val="28"/>
          <w:szCs w:val="28"/>
        </w:rPr>
        <w:t>上述项目为按照《龙岗区鼓励社会资金投资城市更新项目内及周边公共设施管理规定》（深龙府办规〔2018〕4号）的规定，深圳市龙岗区布吉街道办事处作为该项目的监管单位和业主单位，给予该项目投资人原则上不超过批复总概算（不包括项目用地土地整备和房屋征收费用）40%的资金补贴，最终以审计结算为准。</w:t>
      </w:r>
    </w:p>
    <w:p w14:paraId="5BF58A84">
      <w:pPr>
        <w:pStyle w:val="11"/>
        <w:numPr>
          <w:ilvl w:val="0"/>
          <w:numId w:val="1"/>
        </w:numPr>
        <w:ind w:firstLineChars="0"/>
        <w:jc w:val="left"/>
        <w:rPr>
          <w:rFonts w:ascii="宋体" w:hAnsi="宋体"/>
          <w:b/>
          <w:sz w:val="28"/>
          <w:szCs w:val="28"/>
        </w:rPr>
      </w:pPr>
      <w:r>
        <w:rPr>
          <w:rFonts w:hint="eastAsia" w:ascii="宋体" w:hAnsi="宋体"/>
          <w:b/>
          <w:sz w:val="28"/>
          <w:szCs w:val="28"/>
        </w:rPr>
        <w:t>采购项目需求：</w:t>
      </w:r>
    </w:p>
    <w:p w14:paraId="23957C18">
      <w:pPr>
        <w:pStyle w:val="11"/>
        <w:numPr>
          <w:ilvl w:val="0"/>
          <w:numId w:val="2"/>
        </w:numPr>
        <w:ind w:firstLineChars="0"/>
        <w:jc w:val="left"/>
        <w:rPr>
          <w:rFonts w:ascii="宋体" w:hAnsi="宋体"/>
          <w:sz w:val="28"/>
          <w:szCs w:val="28"/>
        </w:rPr>
      </w:pPr>
      <w:r>
        <w:rPr>
          <w:rFonts w:hint="eastAsia" w:ascii="宋体" w:hAnsi="宋体"/>
          <w:sz w:val="28"/>
          <w:szCs w:val="28"/>
        </w:rPr>
        <w:t>项目概况：</w:t>
      </w:r>
    </w:p>
    <w:p w14:paraId="2A02A2A2">
      <w:pPr>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rPr>
        <w:t>布吉金稻田片区城市更新单元项目位于深圳市龙岗区布吉街道罗岗地区翔鸽路和惠康路交叉口西南侧，东临翔鸽路，西靠禾富北路，北临惠康路，南抵荣华路。</w:t>
      </w:r>
      <w:r>
        <w:rPr>
          <w:rFonts w:hint="eastAsia" w:ascii="宋体" w:hAnsi="宋体" w:eastAsia="宋体" w:cs="宋体"/>
          <w:sz w:val="28"/>
          <w:szCs w:val="28"/>
          <w:lang w:val="en-US" w:eastAsia="zh-CN"/>
        </w:rPr>
        <w:t>项目总规划容积为278354m²，包括两个地块，其中B-01-1、B-01-2为同一个地块范围，B-02、B-03、B-04、B-05为同一个完整地块，各个地块的技术指标如下。</w:t>
      </w:r>
    </w:p>
    <w:p w14:paraId="23A3B3A2">
      <w:pPr>
        <w:widowControl w:val="0"/>
        <w:kinsoku/>
        <w:wordWrap/>
        <w:overflowPunct/>
        <w:topLinePunct w:val="0"/>
        <w:bidi w:val="0"/>
        <w:spacing w:before="157" w:beforeLines="50" w:after="157" w:afterLines="50" w:line="360" w:lineRule="auto"/>
        <w:ind w:left="0" w:leftChars="0" w:firstLine="0" w:firstLineChars="0"/>
        <w:jc w:val="center"/>
        <w:textAlignment w:val="auto"/>
        <w:outlineLvl w:val="9"/>
        <w:rPr>
          <w:rFonts w:hint="default" w:ascii="宋体" w:hAnsi="宋体" w:eastAsia="宋体" w:cs="宋体"/>
          <w:b/>
          <w:bCs/>
          <w:color w:val="auto"/>
          <w:sz w:val="24"/>
          <w:szCs w:val="24"/>
          <w:lang w:val="en-US" w:eastAsia="zh-CN"/>
        </w:rPr>
      </w:pPr>
      <w:r>
        <w:rPr>
          <w:color w:val="auto"/>
        </w:rPr>
        <w:drawing>
          <wp:inline distT="0" distB="0" distL="114300" distR="114300">
            <wp:extent cx="3564255" cy="3177540"/>
            <wp:effectExtent l="0" t="0" r="17145" b="381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5"/>
                    <a:srcRect l="17616" r="7027"/>
                    <a:stretch>
                      <a:fillRect/>
                    </a:stretch>
                  </pic:blipFill>
                  <pic:spPr>
                    <a:xfrm>
                      <a:off x="0" y="0"/>
                      <a:ext cx="3564255" cy="3177540"/>
                    </a:xfrm>
                    <a:prstGeom prst="rect">
                      <a:avLst/>
                    </a:prstGeom>
                    <a:noFill/>
                    <a:ln>
                      <a:noFill/>
                    </a:ln>
                  </pic:spPr>
                </pic:pic>
              </a:graphicData>
            </a:graphic>
          </wp:inline>
        </w:drawing>
      </w:r>
      <w:r>
        <w:rPr>
          <w:color w:val="auto"/>
        </w:rPr>
        <w:drawing>
          <wp:inline distT="0" distB="0" distL="114300" distR="114300">
            <wp:extent cx="2313305" cy="3181350"/>
            <wp:effectExtent l="0" t="0" r="10795"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6"/>
                    <a:stretch>
                      <a:fillRect/>
                    </a:stretch>
                  </pic:blipFill>
                  <pic:spPr>
                    <a:xfrm>
                      <a:off x="0" y="0"/>
                      <a:ext cx="2313305" cy="3181350"/>
                    </a:xfrm>
                    <a:prstGeom prst="rect">
                      <a:avLst/>
                    </a:prstGeom>
                    <a:noFill/>
                    <a:ln>
                      <a:noFill/>
                    </a:ln>
                  </pic:spPr>
                </pic:pic>
              </a:graphicData>
            </a:graphic>
          </wp:inline>
        </w:drawing>
      </w:r>
    </w:p>
    <w:p w14:paraId="75E4E34F">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龙岗区布吉金稻田片区更新单元B-03地块、B-04地块、B-05地块，为同一宗地，宗地号为G06317-0114</w:t>
      </w:r>
      <w:r>
        <w:rPr>
          <w:rFonts w:hint="eastAsia" w:ascii="宋体" w:hAnsi="宋体" w:eastAsia="宋体" w:cs="宋体"/>
          <w:sz w:val="28"/>
          <w:szCs w:val="28"/>
          <w:lang w:eastAsia="zh-CN"/>
        </w:rPr>
        <w:t>，</w:t>
      </w:r>
      <w:r>
        <w:rPr>
          <w:rFonts w:hint="eastAsia" w:ascii="宋体" w:hAnsi="宋体" w:eastAsia="宋体" w:cs="宋体"/>
          <w:sz w:val="28"/>
          <w:szCs w:val="28"/>
        </w:rPr>
        <w:t>建设用地面积约6487</w:t>
      </w:r>
      <w:r>
        <w:rPr>
          <w:rFonts w:hint="eastAsia" w:ascii="宋体" w:hAnsi="宋体" w:eastAsia="宋体" w:cs="宋体"/>
          <w:sz w:val="28"/>
          <w:szCs w:val="28"/>
          <w:lang w:val="en-US" w:eastAsia="zh-CN"/>
        </w:rPr>
        <w:t>m²</w:t>
      </w:r>
      <w:r>
        <w:rPr>
          <w:rFonts w:hint="eastAsia" w:ascii="宋体" w:hAnsi="宋体" w:eastAsia="宋体" w:cs="宋体"/>
          <w:sz w:val="28"/>
          <w:szCs w:val="28"/>
        </w:rPr>
        <w:t>，总建筑面积约9737</w:t>
      </w:r>
      <w:r>
        <w:rPr>
          <w:rFonts w:hint="eastAsia" w:ascii="宋体" w:hAnsi="宋体" w:eastAsia="宋体" w:cs="宋体"/>
          <w:sz w:val="28"/>
          <w:szCs w:val="28"/>
          <w:lang w:val="en-US" w:eastAsia="zh-CN"/>
        </w:rPr>
        <w:t>m²，</w:t>
      </w:r>
      <w:r>
        <w:rPr>
          <w:rFonts w:hint="eastAsia" w:ascii="宋体" w:hAnsi="宋体" w:eastAsia="宋体" w:cs="宋体"/>
          <w:sz w:val="28"/>
          <w:szCs w:val="28"/>
        </w:rPr>
        <w:t>主要建设内容包括垃圾转运站、公交首末站、广场及社会公共停车场。</w:t>
      </w:r>
      <w:r>
        <w:rPr>
          <w:rFonts w:hint="eastAsia" w:ascii="宋体" w:hAnsi="宋体" w:eastAsia="宋体" w:cs="宋体"/>
          <w:sz w:val="28"/>
          <w:szCs w:val="28"/>
          <w:lang w:val="en-US" w:eastAsia="zh-CN"/>
        </w:rPr>
        <w:t>其</w:t>
      </w:r>
      <w:r>
        <w:rPr>
          <w:rFonts w:hint="eastAsia" w:ascii="宋体" w:hAnsi="宋体" w:eastAsia="宋体" w:cs="宋体"/>
          <w:sz w:val="28"/>
          <w:szCs w:val="28"/>
        </w:rPr>
        <w:t>中，垃圾转运站建筑面积557</w:t>
      </w:r>
      <w:r>
        <w:rPr>
          <w:rFonts w:hint="eastAsia" w:ascii="宋体" w:hAnsi="宋体" w:eastAsia="宋体" w:cs="宋体"/>
          <w:sz w:val="28"/>
          <w:szCs w:val="28"/>
          <w:lang w:val="en-US" w:eastAsia="zh-CN"/>
        </w:rPr>
        <w:t>m²</w:t>
      </w:r>
      <w:r>
        <w:rPr>
          <w:rFonts w:hint="eastAsia" w:ascii="宋体" w:hAnsi="宋体" w:eastAsia="宋体" w:cs="宋体"/>
          <w:sz w:val="28"/>
          <w:szCs w:val="28"/>
        </w:rPr>
        <w:t>，公交首末站建筑面积2654</w:t>
      </w:r>
      <w:r>
        <w:rPr>
          <w:rFonts w:hint="eastAsia" w:ascii="宋体" w:hAnsi="宋体" w:eastAsia="宋体" w:cs="宋体"/>
          <w:sz w:val="28"/>
          <w:szCs w:val="28"/>
          <w:lang w:val="en-US" w:eastAsia="zh-CN"/>
        </w:rPr>
        <w:t>m²，</w:t>
      </w:r>
      <w:r>
        <w:rPr>
          <w:rFonts w:hint="eastAsia" w:ascii="宋体" w:hAnsi="宋体" w:eastAsia="宋体" w:cs="宋体"/>
          <w:sz w:val="28"/>
          <w:szCs w:val="28"/>
        </w:rPr>
        <w:t>广场用地面积2886</w:t>
      </w:r>
      <w:r>
        <w:rPr>
          <w:rFonts w:hint="eastAsia" w:ascii="宋体" w:hAnsi="宋体" w:eastAsia="宋体" w:cs="宋体"/>
          <w:sz w:val="28"/>
          <w:szCs w:val="28"/>
          <w:lang w:val="en-US" w:eastAsia="zh-CN"/>
        </w:rPr>
        <w:t>m²</w:t>
      </w:r>
      <w:r>
        <w:rPr>
          <w:rFonts w:hint="eastAsia" w:ascii="宋体" w:hAnsi="宋体" w:eastAsia="宋体" w:cs="宋体"/>
          <w:sz w:val="28"/>
          <w:szCs w:val="28"/>
        </w:rPr>
        <w:t>、建筑面积1667</w:t>
      </w:r>
      <w:r>
        <w:rPr>
          <w:rFonts w:hint="eastAsia" w:ascii="宋体" w:hAnsi="宋体" w:eastAsia="宋体" w:cs="宋体"/>
          <w:sz w:val="28"/>
          <w:szCs w:val="28"/>
          <w:lang w:val="en-US" w:eastAsia="zh-CN"/>
        </w:rPr>
        <w:t>m²</w:t>
      </w:r>
      <w:r>
        <w:rPr>
          <w:rFonts w:hint="eastAsia" w:ascii="宋体" w:hAnsi="宋体" w:eastAsia="宋体" w:cs="宋体"/>
          <w:sz w:val="28"/>
          <w:szCs w:val="28"/>
        </w:rPr>
        <w:t>，社会公共停车场位于公交首末站及广场地下，建筑面积4859</w:t>
      </w:r>
      <w:r>
        <w:rPr>
          <w:rFonts w:hint="eastAsia" w:ascii="宋体" w:hAnsi="宋体" w:eastAsia="宋体" w:cs="宋体"/>
          <w:sz w:val="28"/>
          <w:szCs w:val="28"/>
          <w:lang w:val="en-US" w:eastAsia="zh-CN"/>
        </w:rPr>
        <w:t>m²</w:t>
      </w:r>
      <w:r>
        <w:rPr>
          <w:rFonts w:hint="eastAsia" w:ascii="宋体" w:hAnsi="宋体" w:eastAsia="宋体" w:cs="宋体"/>
          <w:sz w:val="28"/>
          <w:szCs w:val="28"/>
        </w:rPr>
        <w:t>，提供170个公共停车位(含机械停车位73个)。</w:t>
      </w:r>
    </w:p>
    <w:p w14:paraId="068C9E0F">
      <w:pPr>
        <w:pStyle w:val="11"/>
        <w:numPr>
          <w:ilvl w:val="0"/>
          <w:numId w:val="2"/>
        </w:numPr>
        <w:ind w:firstLineChars="0"/>
        <w:jc w:val="left"/>
        <w:rPr>
          <w:rFonts w:ascii="宋体" w:hAnsi="宋体"/>
          <w:sz w:val="28"/>
          <w:szCs w:val="28"/>
        </w:rPr>
      </w:pPr>
      <w:r>
        <w:rPr>
          <w:rFonts w:hint="eastAsia" w:ascii="宋体" w:hAnsi="宋体"/>
          <w:sz w:val="28"/>
          <w:szCs w:val="28"/>
        </w:rPr>
        <w:t>项目招标范围</w:t>
      </w:r>
    </w:p>
    <w:p w14:paraId="02413852">
      <w:pPr>
        <w:spacing w:line="360" w:lineRule="auto"/>
        <w:ind w:firstLine="560" w:firstLineChars="200"/>
        <w:jc w:val="left"/>
        <w:rPr>
          <w:rFonts w:ascii="宋体" w:hAnsi="宋体"/>
          <w:sz w:val="28"/>
          <w:szCs w:val="28"/>
        </w:rPr>
      </w:pPr>
      <w:r>
        <w:rPr>
          <w:rFonts w:hint="eastAsia" w:ascii="宋体" w:hAnsi="宋体"/>
          <w:sz w:val="28"/>
          <w:szCs w:val="28"/>
        </w:rPr>
        <w:t>根据项目报批报建及建设的要求，项目需编制</w:t>
      </w:r>
      <w:bookmarkStart w:id="1" w:name="_GoBack"/>
      <w:bookmarkEnd w:id="1"/>
      <w:r>
        <w:rPr>
          <w:rFonts w:hint="eastAsia" w:ascii="宋体" w:hAnsi="宋体"/>
          <w:sz w:val="28"/>
          <w:szCs w:val="28"/>
        </w:rPr>
        <w:t>项目公交首末站交通专项方案设计、交通专项施工图设计等相关设计咨询工作。</w:t>
      </w:r>
    </w:p>
    <w:p w14:paraId="71444237">
      <w:pPr>
        <w:pStyle w:val="11"/>
        <w:numPr>
          <w:ilvl w:val="0"/>
          <w:numId w:val="2"/>
        </w:numPr>
        <w:ind w:firstLineChars="0"/>
        <w:jc w:val="left"/>
        <w:rPr>
          <w:rFonts w:ascii="宋体" w:hAnsi="宋体"/>
          <w:sz w:val="28"/>
          <w:szCs w:val="28"/>
        </w:rPr>
      </w:pPr>
      <w:r>
        <w:rPr>
          <w:rFonts w:hint="eastAsia" w:ascii="宋体" w:hAnsi="宋体"/>
          <w:sz w:val="28"/>
          <w:szCs w:val="28"/>
        </w:rPr>
        <w:t>项目公交首末站交通专项设计的主要工作内容：</w:t>
      </w:r>
    </w:p>
    <w:p w14:paraId="0065A1CB">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本项目涵盖“公交首末站</w:t>
      </w:r>
      <w:r>
        <w:rPr>
          <w:rFonts w:hint="eastAsia" w:ascii="宋体" w:hAnsi="宋体" w:eastAsia="宋体" w:cs="宋体"/>
          <w:sz w:val="28"/>
          <w:szCs w:val="28"/>
          <w:lang w:val="en-US" w:eastAsia="zh-CN"/>
        </w:rPr>
        <w:t>交通专项</w:t>
      </w:r>
      <w:r>
        <w:rPr>
          <w:rFonts w:hint="eastAsia" w:ascii="宋体" w:hAnsi="宋体" w:eastAsia="宋体" w:cs="宋体"/>
          <w:sz w:val="28"/>
          <w:szCs w:val="28"/>
        </w:rPr>
        <w:t>方案设计及技术咨询支持”、“公交首末站</w:t>
      </w:r>
      <w:r>
        <w:rPr>
          <w:rFonts w:hint="eastAsia" w:ascii="宋体" w:hAnsi="宋体" w:eastAsia="宋体" w:cs="宋体"/>
          <w:sz w:val="28"/>
          <w:szCs w:val="28"/>
          <w:lang w:val="en-US" w:eastAsia="zh-CN"/>
        </w:rPr>
        <w:t>交通专项</w:t>
      </w:r>
      <w:r>
        <w:rPr>
          <w:rFonts w:hint="eastAsia" w:ascii="宋体" w:hAnsi="宋体" w:eastAsia="宋体" w:cs="宋体"/>
          <w:sz w:val="28"/>
          <w:szCs w:val="28"/>
        </w:rPr>
        <w:t>施工图设计及技术咨询支持”工作内容，具体</w:t>
      </w:r>
      <w:r>
        <w:rPr>
          <w:rFonts w:hint="eastAsia" w:ascii="宋体" w:hAnsi="宋体" w:eastAsia="宋体" w:cs="宋体"/>
          <w:sz w:val="28"/>
          <w:szCs w:val="28"/>
          <w:lang w:val="en-US" w:eastAsia="zh-CN"/>
        </w:rPr>
        <w:t>内容及要求如下</w:t>
      </w:r>
      <w:r>
        <w:rPr>
          <w:rFonts w:hint="eastAsia" w:ascii="宋体" w:hAnsi="宋体" w:eastAsia="宋体" w:cs="宋体"/>
          <w:sz w:val="28"/>
          <w:szCs w:val="28"/>
        </w:rPr>
        <w:t>：</w:t>
      </w:r>
    </w:p>
    <w:p w14:paraId="248D4B73">
      <w:pPr>
        <w:widowControl w:val="0"/>
        <w:kinsoku/>
        <w:wordWrap/>
        <w:overflowPunct/>
        <w:topLinePunct w:val="0"/>
        <w:bidi w:val="0"/>
        <w:spacing w:before="157" w:beforeLines="50" w:after="157" w:afterLines="50" w:line="360" w:lineRule="auto"/>
        <w:ind w:left="0" w:firstLine="562" w:firstLineChars="200"/>
        <w:jc w:val="left"/>
        <w:textAlignment w:val="auto"/>
        <w:outlineLvl w:val="9"/>
        <w:rPr>
          <w:rFonts w:hint="eastAsia" w:ascii="宋体" w:hAnsi="宋体" w:eastAsia="宋体" w:cs="宋体"/>
          <w:b/>
          <w:bCs/>
          <w:color w:val="auto"/>
          <w:sz w:val="28"/>
          <w:szCs w:val="28"/>
        </w:rPr>
      </w:pPr>
      <w:r>
        <w:rPr>
          <w:rFonts w:hint="eastAsia" w:ascii="宋体" w:hAnsi="宋体" w:eastAsia="宋体" w:cs="宋体"/>
          <w:b/>
          <w:bCs/>
          <w:color w:val="auto"/>
          <w:sz w:val="28"/>
          <w:szCs w:val="28"/>
        </w:rPr>
        <w:t>1、公交首末站</w:t>
      </w:r>
      <w:r>
        <w:rPr>
          <w:rFonts w:hint="eastAsia" w:ascii="宋体" w:hAnsi="宋体" w:eastAsia="宋体" w:cs="宋体"/>
          <w:b/>
          <w:bCs/>
          <w:color w:val="auto"/>
          <w:sz w:val="28"/>
          <w:szCs w:val="28"/>
          <w:lang w:val="en-US" w:eastAsia="zh-CN"/>
        </w:rPr>
        <w:t>交通专项</w:t>
      </w:r>
      <w:r>
        <w:rPr>
          <w:rFonts w:hint="eastAsia" w:ascii="宋体" w:hAnsi="宋体" w:eastAsia="宋体" w:cs="宋体"/>
          <w:b/>
          <w:bCs/>
          <w:color w:val="auto"/>
          <w:sz w:val="28"/>
          <w:szCs w:val="28"/>
        </w:rPr>
        <w:t>方案设计</w:t>
      </w:r>
    </w:p>
    <w:p w14:paraId="748C7AE4">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根据</w:t>
      </w:r>
      <w:r>
        <w:rPr>
          <w:rFonts w:hint="eastAsia" w:ascii="宋体" w:hAnsi="宋体" w:eastAsia="宋体" w:cs="宋体"/>
          <w:sz w:val="28"/>
          <w:szCs w:val="28"/>
          <w:lang w:val="en-US" w:eastAsia="zh-CN"/>
        </w:rPr>
        <w:t>建设单位</w:t>
      </w:r>
      <w:r>
        <w:rPr>
          <w:rFonts w:hint="eastAsia" w:ascii="宋体" w:hAnsi="宋体" w:eastAsia="宋体" w:cs="宋体"/>
          <w:sz w:val="28"/>
          <w:szCs w:val="28"/>
        </w:rPr>
        <w:t>提供的建筑设计初步方案，按照深圳市交通局“公交首末站方案设计审查”</w:t>
      </w:r>
      <w:r>
        <w:rPr>
          <w:rFonts w:hint="eastAsia" w:ascii="宋体" w:hAnsi="宋体" w:eastAsia="宋体" w:cs="宋体"/>
          <w:sz w:val="28"/>
          <w:szCs w:val="28"/>
          <w:lang w:val="en-US" w:eastAsia="zh-CN"/>
        </w:rPr>
        <w:t>标准</w:t>
      </w:r>
      <w:r>
        <w:rPr>
          <w:rFonts w:hint="eastAsia" w:ascii="宋体" w:hAnsi="宋体" w:eastAsia="宋体" w:cs="宋体"/>
          <w:sz w:val="28"/>
          <w:szCs w:val="28"/>
        </w:rPr>
        <w:t>要求开展配建场站方案设计。设计内容包括首末站平面布局、公交车辆行进出轨迹模拟、站务用房布局及充电设施配套方案，行人和车辆交通组织以及与建筑设计专业协调沟通事项，方案设计成果报送深圳市交通局设施处审批。</w:t>
      </w:r>
    </w:p>
    <w:p w14:paraId="2ED4875A">
      <w:pPr>
        <w:widowControl w:val="0"/>
        <w:kinsoku/>
        <w:wordWrap/>
        <w:overflowPunct/>
        <w:topLinePunct w:val="0"/>
        <w:bidi w:val="0"/>
        <w:spacing w:before="157" w:beforeLines="50" w:after="157" w:afterLines="50" w:line="360" w:lineRule="auto"/>
        <w:ind w:left="0" w:firstLine="562" w:firstLineChars="200"/>
        <w:jc w:val="left"/>
        <w:textAlignment w:val="auto"/>
        <w:outlineLvl w:val="9"/>
        <w:rPr>
          <w:rFonts w:hint="eastAsia" w:ascii="宋体" w:hAnsi="宋体" w:eastAsia="宋体" w:cs="宋体"/>
          <w:b/>
          <w:bCs/>
          <w:color w:val="auto"/>
          <w:sz w:val="28"/>
          <w:szCs w:val="28"/>
        </w:rPr>
      </w:pPr>
      <w:r>
        <w:rPr>
          <w:rFonts w:hint="eastAsia" w:ascii="宋体" w:hAnsi="宋体" w:eastAsia="宋体" w:cs="宋体"/>
          <w:b/>
          <w:bCs/>
          <w:color w:val="auto"/>
          <w:sz w:val="28"/>
          <w:szCs w:val="28"/>
        </w:rPr>
        <w:t>2、公交首末站</w:t>
      </w:r>
      <w:r>
        <w:rPr>
          <w:rFonts w:hint="eastAsia" w:ascii="宋体" w:hAnsi="宋体" w:eastAsia="宋体" w:cs="宋体"/>
          <w:b/>
          <w:bCs/>
          <w:color w:val="auto"/>
          <w:sz w:val="28"/>
          <w:szCs w:val="28"/>
          <w:lang w:val="en-US" w:eastAsia="zh-CN"/>
        </w:rPr>
        <w:t>交通专项</w:t>
      </w:r>
      <w:r>
        <w:rPr>
          <w:rFonts w:hint="eastAsia" w:ascii="宋体" w:hAnsi="宋体" w:eastAsia="宋体" w:cs="宋体"/>
          <w:b/>
          <w:bCs/>
          <w:color w:val="auto"/>
          <w:sz w:val="28"/>
          <w:szCs w:val="28"/>
        </w:rPr>
        <w:t>施工图设计</w:t>
      </w:r>
    </w:p>
    <w:p w14:paraId="63F1753B">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color w:val="auto"/>
          <w:sz w:val="28"/>
          <w:szCs w:val="28"/>
        </w:rPr>
      </w:pPr>
      <w:r>
        <w:rPr>
          <w:rFonts w:hint="eastAsia" w:ascii="宋体" w:hAnsi="宋体" w:eastAsia="宋体" w:cs="宋体"/>
          <w:sz w:val="28"/>
          <w:szCs w:val="28"/>
        </w:rPr>
        <w:t>根据市交通局设施处批复的公交首末站方案，受托方负责绘制配建公交首末</w:t>
      </w:r>
      <w:r>
        <w:rPr>
          <w:rFonts w:hint="eastAsia" w:ascii="宋体" w:hAnsi="宋体" w:eastAsia="宋体" w:cs="宋体"/>
          <w:color w:val="auto"/>
          <w:sz w:val="28"/>
          <w:szCs w:val="28"/>
        </w:rPr>
        <w:t>站</w:t>
      </w:r>
      <w:r>
        <w:rPr>
          <w:rFonts w:hint="eastAsia" w:ascii="宋体" w:hAnsi="宋体" w:eastAsia="宋体" w:cs="宋体"/>
          <w:color w:val="auto"/>
          <w:sz w:val="28"/>
          <w:szCs w:val="28"/>
          <w:lang w:val="en-US" w:eastAsia="zh-CN"/>
        </w:rPr>
        <w:t>交通专项</w:t>
      </w:r>
      <w:r>
        <w:rPr>
          <w:rFonts w:hint="eastAsia" w:ascii="宋体" w:hAnsi="宋体" w:eastAsia="宋体" w:cs="宋体"/>
          <w:color w:val="auto"/>
          <w:sz w:val="28"/>
          <w:szCs w:val="28"/>
        </w:rPr>
        <w:t>施工图，报送设施处征求意见，并按意见修改完善。</w:t>
      </w:r>
      <w:r>
        <w:rPr>
          <w:rFonts w:hint="eastAsia" w:ascii="宋体" w:hAnsi="宋体" w:eastAsia="宋体" w:cs="宋体"/>
          <w:b/>
          <w:bCs/>
          <w:color w:val="auto"/>
          <w:sz w:val="28"/>
          <w:szCs w:val="28"/>
        </w:rPr>
        <w:t>该部分工作内容与建筑主体施工图设计存在交叉作业的情况，需要建筑主体设计单位提供相应的协助与配合</w:t>
      </w:r>
      <w:r>
        <w:rPr>
          <w:rFonts w:hint="eastAsia" w:ascii="宋体" w:hAnsi="宋体" w:eastAsia="宋体" w:cs="宋体"/>
          <w:color w:val="auto"/>
          <w:sz w:val="28"/>
          <w:szCs w:val="28"/>
        </w:rPr>
        <w:t>。受托方主要设计工作集中在公交首末站的交通工程设计，其余的建筑工程、消防工程、暖通工程、监控工程及交通</w:t>
      </w:r>
      <w:r>
        <w:rPr>
          <w:rFonts w:hint="eastAsia" w:ascii="宋体" w:hAnsi="宋体" w:eastAsia="宋体" w:cs="宋体"/>
          <w:color w:val="auto"/>
          <w:sz w:val="28"/>
          <w:szCs w:val="28"/>
          <w:lang w:val="en-US" w:eastAsia="zh-CN"/>
        </w:rPr>
        <w:t>运输局</w:t>
      </w:r>
      <w:r>
        <w:rPr>
          <w:rFonts w:hint="eastAsia" w:ascii="宋体" w:hAnsi="宋体" w:eastAsia="宋体" w:cs="宋体"/>
          <w:color w:val="auto"/>
          <w:sz w:val="28"/>
          <w:szCs w:val="28"/>
        </w:rPr>
        <w:t>设施处可能需要的其他涉及建筑主体方案的施工图纸由</w:t>
      </w:r>
      <w:r>
        <w:rPr>
          <w:rFonts w:hint="eastAsia" w:ascii="宋体" w:hAnsi="宋体" w:eastAsia="宋体" w:cs="宋体"/>
          <w:b/>
          <w:bCs/>
          <w:color w:val="auto"/>
          <w:sz w:val="28"/>
          <w:szCs w:val="28"/>
        </w:rPr>
        <w:t>建筑主体</w:t>
      </w:r>
      <w:r>
        <w:rPr>
          <w:rFonts w:hint="eastAsia" w:ascii="宋体" w:hAnsi="宋体" w:eastAsia="宋体" w:cs="宋体"/>
          <w:color w:val="auto"/>
          <w:sz w:val="28"/>
          <w:szCs w:val="28"/>
        </w:rPr>
        <w:t>设计单位完成后提供给受托方，受托方负责整合至公交首末站的施工图中，同时提供相应的交通咨询工作。</w:t>
      </w:r>
    </w:p>
    <w:p w14:paraId="19721F16">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受托方从工程技术与公交首末站配建技术标准及政策等方面为业主方提供该公交首末站</w:t>
      </w:r>
      <w:r>
        <w:rPr>
          <w:rFonts w:hint="eastAsia" w:ascii="宋体" w:hAnsi="宋体" w:eastAsia="宋体" w:cs="宋体"/>
          <w:color w:val="auto"/>
          <w:sz w:val="28"/>
          <w:szCs w:val="28"/>
          <w:lang w:val="en-US" w:eastAsia="zh-CN"/>
        </w:rPr>
        <w:t>交通专项</w:t>
      </w:r>
      <w:r>
        <w:rPr>
          <w:rFonts w:hint="eastAsia" w:ascii="宋体" w:hAnsi="宋体" w:eastAsia="宋体" w:cs="宋体"/>
          <w:color w:val="auto"/>
          <w:sz w:val="28"/>
          <w:szCs w:val="28"/>
        </w:rPr>
        <w:t>设计（含方案与施工图阶段）所需的全程报批协助服务，包含配合业主方报送深圳市交通局设施处审批并通过，施工图完成征求交通局设施处意见，具体包括以下几个方面工作内容：</w:t>
      </w:r>
    </w:p>
    <w:p w14:paraId="3CB62B17">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（1）公交首末站配建技术标准及政策等方面的咨询；</w:t>
      </w:r>
    </w:p>
    <w:p w14:paraId="0A8B74D1">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（2）从工程技术与政策方面对业主方的公交首末站报批予以指导和协助；</w:t>
      </w:r>
    </w:p>
    <w:p w14:paraId="1D631759">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（3）参加公交首末站审批主管部门的沟通协调会议并协调相关审批事宜。</w:t>
      </w:r>
    </w:p>
    <w:p w14:paraId="506857DB">
      <w:pPr>
        <w:widowControl w:val="0"/>
        <w:kinsoku/>
        <w:wordWrap/>
        <w:overflowPunct/>
        <w:topLinePunct w:val="0"/>
        <w:bidi w:val="0"/>
        <w:spacing w:before="157" w:beforeLines="50" w:after="157" w:afterLines="50" w:line="360" w:lineRule="auto"/>
        <w:ind w:left="0" w:firstLine="562" w:firstLineChars="200"/>
        <w:jc w:val="left"/>
        <w:textAlignment w:val="auto"/>
        <w:outlineLvl w:val="9"/>
        <w:rPr>
          <w:rFonts w:hint="eastAsia" w:ascii="宋体" w:hAnsi="宋体" w:eastAsia="宋体" w:cs="宋体"/>
          <w:b/>
          <w:color w:val="auto"/>
          <w:sz w:val="28"/>
          <w:szCs w:val="28"/>
        </w:rPr>
      </w:pPr>
      <w:r>
        <w:rPr>
          <w:rFonts w:hint="eastAsia" w:ascii="宋体" w:hAnsi="宋体" w:eastAsia="宋体" w:cs="宋体"/>
          <w:b/>
          <w:color w:val="auto"/>
          <w:sz w:val="28"/>
          <w:szCs w:val="28"/>
          <w:lang w:val="en-US" w:eastAsia="zh-CN"/>
        </w:rPr>
        <w:t>3</w:t>
      </w:r>
      <w:r>
        <w:rPr>
          <w:rFonts w:hint="eastAsia" w:ascii="宋体" w:hAnsi="宋体" w:eastAsia="宋体" w:cs="宋体"/>
          <w:b/>
          <w:color w:val="auto"/>
          <w:sz w:val="28"/>
          <w:szCs w:val="28"/>
        </w:rPr>
        <w:t>、成果要求</w:t>
      </w:r>
    </w:p>
    <w:p w14:paraId="308F4339">
      <w:pPr>
        <w:widowControl w:val="0"/>
        <w:kinsoku/>
        <w:wordWrap/>
        <w:overflowPunct/>
        <w:topLinePunct w:val="0"/>
        <w:bidi w:val="0"/>
        <w:spacing w:before="157" w:beforeLines="50" w:after="157" w:afterLines="50" w:line="360" w:lineRule="auto"/>
        <w:ind w:left="0" w:firstLine="562" w:firstLineChars="200"/>
        <w:jc w:val="left"/>
        <w:textAlignment w:val="auto"/>
        <w:outlineLvl w:val="9"/>
        <w:rPr>
          <w:rFonts w:hint="eastAsia" w:ascii="宋体" w:hAnsi="宋体" w:eastAsia="宋体" w:cs="宋体"/>
          <w:b/>
          <w:bCs/>
          <w:color w:val="auto"/>
          <w:sz w:val="28"/>
          <w:szCs w:val="28"/>
        </w:rPr>
      </w:pP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rPr>
        <w:t>1</w:t>
      </w: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rPr>
        <w:t>公交首末站</w:t>
      </w:r>
      <w:r>
        <w:rPr>
          <w:rFonts w:hint="eastAsia" w:ascii="宋体" w:hAnsi="宋体" w:eastAsia="宋体" w:cs="宋体"/>
          <w:b/>
          <w:bCs/>
          <w:color w:val="auto"/>
          <w:sz w:val="28"/>
          <w:szCs w:val="28"/>
          <w:lang w:val="en-US" w:eastAsia="zh-CN"/>
        </w:rPr>
        <w:t>交通专项</w:t>
      </w:r>
      <w:r>
        <w:rPr>
          <w:rFonts w:hint="eastAsia" w:ascii="宋体" w:hAnsi="宋体" w:eastAsia="宋体" w:cs="宋体"/>
          <w:b/>
          <w:bCs/>
          <w:color w:val="auto"/>
          <w:sz w:val="28"/>
          <w:szCs w:val="28"/>
        </w:rPr>
        <w:t>方案设计</w:t>
      </w:r>
    </w:p>
    <w:p w14:paraId="2B493F22">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受托方提交公交首末站方案设计成果说明书及图册，报交通局设施处审查通过。以上成果纸质版3套，电子文档格式要求：PDF、JPG、DWG；汇报演示（格式要求：PPT）。</w:t>
      </w:r>
    </w:p>
    <w:p w14:paraId="265F7158">
      <w:pPr>
        <w:widowControl w:val="0"/>
        <w:kinsoku/>
        <w:wordWrap/>
        <w:overflowPunct/>
        <w:topLinePunct w:val="0"/>
        <w:bidi w:val="0"/>
        <w:spacing w:before="157" w:beforeLines="50" w:after="157" w:afterLines="50" w:line="360" w:lineRule="auto"/>
        <w:ind w:left="0" w:firstLine="562" w:firstLineChars="200"/>
        <w:jc w:val="left"/>
        <w:textAlignment w:val="auto"/>
        <w:outlineLvl w:val="9"/>
        <w:rPr>
          <w:rFonts w:hint="eastAsia" w:ascii="宋体" w:hAnsi="宋体" w:eastAsia="宋体" w:cs="宋体"/>
          <w:b/>
          <w:bCs/>
          <w:color w:val="auto"/>
          <w:sz w:val="28"/>
          <w:szCs w:val="28"/>
        </w:rPr>
      </w:pP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lang w:val="en-US" w:eastAsia="zh-CN"/>
        </w:rPr>
        <w:t>2</w:t>
      </w: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rPr>
        <w:t>公交首末站</w:t>
      </w:r>
      <w:r>
        <w:rPr>
          <w:rFonts w:hint="eastAsia" w:ascii="宋体" w:hAnsi="宋体" w:eastAsia="宋体" w:cs="宋体"/>
          <w:b/>
          <w:bCs/>
          <w:color w:val="auto"/>
          <w:sz w:val="28"/>
          <w:szCs w:val="28"/>
          <w:lang w:val="en-US" w:eastAsia="zh-CN"/>
        </w:rPr>
        <w:t>交通专项</w:t>
      </w:r>
      <w:r>
        <w:rPr>
          <w:rFonts w:hint="eastAsia" w:ascii="宋体" w:hAnsi="宋体" w:eastAsia="宋体" w:cs="宋体"/>
          <w:b/>
          <w:bCs/>
          <w:color w:val="auto"/>
          <w:sz w:val="28"/>
          <w:szCs w:val="28"/>
        </w:rPr>
        <w:t>施工图设计</w:t>
      </w:r>
    </w:p>
    <w:p w14:paraId="1A91BACF">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受托方提交公交首末站施工图设计成果说明书及图册，报交通局设施处审查通过。以上成果纸质版3套，电子文档格式要求：PDF、JPG、DWG；汇报演示（格式要求：PPT）。</w:t>
      </w:r>
    </w:p>
    <w:p w14:paraId="67BB3B73">
      <w:pPr>
        <w:widowControl w:val="0"/>
        <w:kinsoku/>
        <w:wordWrap/>
        <w:overflowPunct/>
        <w:topLinePunct w:val="0"/>
        <w:bidi w:val="0"/>
        <w:spacing w:before="157" w:beforeLines="50" w:after="157" w:afterLines="50" w:line="360" w:lineRule="auto"/>
        <w:ind w:left="0" w:firstLine="562" w:firstLineChars="200"/>
        <w:jc w:val="left"/>
        <w:textAlignment w:val="auto"/>
        <w:outlineLvl w:val="9"/>
        <w:rPr>
          <w:rFonts w:hint="eastAsia" w:ascii="宋体" w:hAnsi="宋体" w:eastAsia="宋体" w:cs="宋体"/>
          <w:b/>
          <w:bCs/>
          <w:color w:val="auto"/>
          <w:sz w:val="28"/>
          <w:szCs w:val="28"/>
        </w:rPr>
      </w:pP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lang w:val="en-US" w:eastAsia="zh-CN"/>
        </w:rPr>
        <w:t>3</w:t>
      </w: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rPr>
        <w:t>公交首末站</w:t>
      </w:r>
      <w:r>
        <w:rPr>
          <w:rFonts w:hint="eastAsia" w:ascii="宋体" w:hAnsi="宋体" w:eastAsia="宋体" w:cs="宋体"/>
          <w:b/>
          <w:bCs/>
          <w:color w:val="auto"/>
          <w:sz w:val="28"/>
          <w:szCs w:val="28"/>
          <w:lang w:val="en-US" w:eastAsia="zh-CN"/>
        </w:rPr>
        <w:t>交通专项</w:t>
      </w:r>
      <w:r>
        <w:rPr>
          <w:rFonts w:hint="eastAsia" w:ascii="宋体" w:hAnsi="宋体" w:eastAsia="宋体" w:cs="宋体"/>
          <w:b/>
          <w:bCs/>
          <w:color w:val="auto"/>
          <w:sz w:val="28"/>
          <w:szCs w:val="28"/>
        </w:rPr>
        <w:t>设计（含方案与施工图阶段）全程报批咨询服务</w:t>
      </w:r>
    </w:p>
    <w:p w14:paraId="39DBAC3B">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1）受托方协助流程梳理，提供公交首末站方案及施工图设计阶段报批报建中的支持服务。</w:t>
      </w:r>
    </w:p>
    <w:p w14:paraId="5C766BAF">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2）基于公交首末站方案及施工图报批的实际需求，完成和政府相关审批部门的沟通、配合报审、获取公交首末站方案与施工图批复等所有工作。</w:t>
      </w:r>
    </w:p>
    <w:p w14:paraId="29864096">
      <w:pPr>
        <w:widowControl w:val="0"/>
        <w:kinsoku/>
        <w:wordWrap/>
        <w:overflowPunct/>
        <w:topLinePunct w:val="0"/>
        <w:bidi w:val="0"/>
        <w:spacing w:before="157" w:beforeLines="50" w:after="157" w:afterLines="50" w:line="360" w:lineRule="auto"/>
        <w:ind w:left="0" w:firstLine="562" w:firstLineChars="200"/>
        <w:jc w:val="left"/>
        <w:textAlignment w:val="auto"/>
        <w:outlineLvl w:val="9"/>
        <w:rPr>
          <w:rFonts w:hint="eastAsia" w:ascii="宋体" w:hAnsi="宋体" w:eastAsia="宋体" w:cs="宋体"/>
          <w:b/>
          <w:color w:val="auto"/>
          <w:sz w:val="28"/>
          <w:szCs w:val="28"/>
        </w:rPr>
      </w:pPr>
      <w:r>
        <w:rPr>
          <w:rFonts w:hint="eastAsia" w:ascii="宋体" w:hAnsi="宋体" w:eastAsia="宋体" w:cs="宋体"/>
          <w:b/>
          <w:color w:val="auto"/>
          <w:sz w:val="28"/>
          <w:szCs w:val="28"/>
          <w:lang w:val="en-US" w:eastAsia="zh-CN"/>
        </w:rPr>
        <w:t>（4）</w:t>
      </w:r>
      <w:r>
        <w:rPr>
          <w:rFonts w:hint="eastAsia" w:ascii="宋体" w:hAnsi="宋体" w:eastAsia="宋体" w:cs="宋体"/>
          <w:b/>
          <w:color w:val="auto"/>
          <w:sz w:val="28"/>
          <w:szCs w:val="28"/>
        </w:rPr>
        <w:t>其他服务</w:t>
      </w:r>
    </w:p>
    <w:p w14:paraId="7E2D8FB6">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在服务过程中须按业主的要求，与规划、建筑等其它专业相配合，共同完成好项目设计与报批报审工作。</w:t>
      </w:r>
    </w:p>
    <w:p w14:paraId="4004FB5F">
      <w:pPr>
        <w:widowControl w:val="0"/>
        <w:kinsoku/>
        <w:wordWrap/>
        <w:overflowPunct/>
        <w:topLinePunct w:val="0"/>
        <w:bidi w:val="0"/>
        <w:spacing w:before="157" w:beforeLines="50" w:after="157" w:afterLines="50" w:line="360" w:lineRule="auto"/>
        <w:ind w:left="0" w:firstLine="562" w:firstLineChars="200"/>
        <w:jc w:val="left"/>
        <w:textAlignment w:val="auto"/>
        <w:outlineLvl w:val="9"/>
        <w:rPr>
          <w:rFonts w:hint="eastAsia" w:ascii="宋体" w:hAnsi="宋体" w:eastAsia="宋体" w:cs="宋体"/>
          <w:b/>
          <w:color w:val="auto"/>
          <w:sz w:val="28"/>
          <w:szCs w:val="28"/>
        </w:rPr>
      </w:pPr>
      <w:r>
        <w:rPr>
          <w:rFonts w:hint="eastAsia" w:ascii="宋体" w:hAnsi="宋体" w:eastAsia="宋体" w:cs="宋体"/>
          <w:b/>
          <w:color w:val="auto"/>
          <w:sz w:val="28"/>
          <w:szCs w:val="28"/>
        </w:rPr>
        <w:t>四、完成时限</w:t>
      </w:r>
    </w:p>
    <w:p w14:paraId="7B83695E">
      <w:pPr>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rPr>
        <w:t>本项目预计完成时间为：本项目从公交首末站范围划定至获取设施处对公交首末站方案批复约需要</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个月。</w:t>
      </w:r>
    </w:p>
    <w:p w14:paraId="52225D77">
      <w:pPr>
        <w:pStyle w:val="11"/>
        <w:numPr>
          <w:ilvl w:val="0"/>
          <w:numId w:val="0"/>
        </w:numPr>
        <w:ind w:leftChars="0" w:firstLine="562" w:firstLineChars="200"/>
        <w:jc w:val="left"/>
        <w:rPr>
          <w:rFonts w:ascii="宋体" w:hAnsi="宋体"/>
          <w:b/>
          <w:sz w:val="28"/>
          <w:szCs w:val="28"/>
        </w:rPr>
      </w:pPr>
      <w:r>
        <w:rPr>
          <w:rFonts w:hint="eastAsia" w:ascii="宋体" w:hAnsi="宋体" w:eastAsia="宋体" w:cs="宋体"/>
          <w:b/>
          <w:color w:val="auto"/>
          <w:sz w:val="28"/>
          <w:szCs w:val="28"/>
          <w:lang w:val="en-US" w:eastAsia="zh-CN"/>
        </w:rPr>
        <w:t>五</w:t>
      </w:r>
      <w:r>
        <w:rPr>
          <w:rFonts w:hint="eastAsia" w:ascii="宋体" w:hAnsi="宋体" w:eastAsia="宋体" w:cs="宋体"/>
          <w:b/>
          <w:color w:val="auto"/>
          <w:sz w:val="28"/>
          <w:szCs w:val="28"/>
        </w:rPr>
        <w:t>、</w:t>
      </w:r>
      <w:r>
        <w:rPr>
          <w:rFonts w:hint="eastAsia" w:ascii="宋体" w:hAnsi="宋体"/>
          <w:b/>
          <w:sz w:val="28"/>
          <w:szCs w:val="28"/>
        </w:rPr>
        <w:t>供应商资格要求：</w:t>
      </w:r>
    </w:p>
    <w:p w14:paraId="21FA0304">
      <w:pPr>
        <w:spacing w:line="360" w:lineRule="auto"/>
        <w:ind w:firstLine="560" w:firstLineChars="200"/>
        <w:jc w:val="left"/>
        <w:rPr>
          <w:rFonts w:ascii="宋体" w:hAnsi="宋体"/>
          <w:sz w:val="28"/>
          <w:szCs w:val="28"/>
        </w:rPr>
      </w:pPr>
      <w:r>
        <w:rPr>
          <w:rFonts w:hint="eastAsia" w:ascii="宋体" w:hAnsi="宋体"/>
          <w:sz w:val="28"/>
          <w:szCs w:val="28"/>
        </w:rPr>
        <w:t>1.具有独立法人资格或具有独立承担民事责任的能力的其它组织（提供营业执照或事业单位法人证等法人证明扫描件，原件备查）。</w:t>
      </w:r>
    </w:p>
    <w:p w14:paraId="0BD70AFF">
      <w:pPr>
        <w:spacing w:line="360" w:lineRule="auto"/>
        <w:ind w:firstLine="560" w:firstLineChars="200"/>
        <w:jc w:val="left"/>
        <w:rPr>
          <w:rFonts w:ascii="宋体" w:hAnsi="宋体"/>
          <w:sz w:val="28"/>
          <w:szCs w:val="28"/>
        </w:rPr>
      </w:pPr>
      <w:r>
        <w:rPr>
          <w:rFonts w:hint="eastAsia" w:ascii="宋体" w:hAnsi="宋体"/>
          <w:sz w:val="28"/>
          <w:szCs w:val="28"/>
        </w:rPr>
        <w:t>2.本项目不接受联合体投标。</w:t>
      </w:r>
    </w:p>
    <w:p w14:paraId="34A8B512">
      <w:pPr>
        <w:spacing w:line="360" w:lineRule="auto"/>
        <w:ind w:firstLine="560" w:firstLineChars="200"/>
        <w:jc w:val="left"/>
        <w:rPr>
          <w:rFonts w:ascii="宋体" w:hAnsi="宋体"/>
          <w:sz w:val="28"/>
          <w:szCs w:val="28"/>
        </w:rPr>
      </w:pPr>
      <w:r>
        <w:rPr>
          <w:rFonts w:hint="eastAsia" w:ascii="宋体" w:hAnsi="宋体"/>
          <w:sz w:val="28"/>
          <w:szCs w:val="28"/>
        </w:rPr>
        <w:t>3.参与本项目投标前三年内，在经营活动中没有重大违法记录。</w:t>
      </w:r>
    </w:p>
    <w:p w14:paraId="614ED142">
      <w:pPr>
        <w:spacing w:line="360" w:lineRule="auto"/>
        <w:ind w:firstLine="560" w:firstLineChars="200"/>
        <w:jc w:val="left"/>
        <w:rPr>
          <w:rFonts w:ascii="宋体" w:hAnsi="宋体"/>
          <w:sz w:val="28"/>
          <w:szCs w:val="28"/>
        </w:rPr>
      </w:pPr>
      <w:r>
        <w:rPr>
          <w:rFonts w:hint="eastAsia" w:ascii="宋体" w:hAnsi="宋体"/>
          <w:sz w:val="28"/>
          <w:szCs w:val="28"/>
        </w:rPr>
        <w:t>4.参与本项目政府采购活动时不存在被有关部门禁止参与政府采购活动且在有效期内的情况。</w:t>
      </w:r>
    </w:p>
    <w:p w14:paraId="76066E47">
      <w:pPr>
        <w:spacing w:line="360" w:lineRule="auto"/>
        <w:ind w:firstLine="560" w:firstLineChars="200"/>
        <w:jc w:val="left"/>
        <w:rPr>
          <w:rFonts w:ascii="宋体" w:hAnsi="宋体"/>
          <w:sz w:val="28"/>
          <w:szCs w:val="28"/>
        </w:rPr>
      </w:pPr>
      <w:r>
        <w:rPr>
          <w:rFonts w:hint="eastAsia" w:ascii="宋体" w:hAnsi="宋体"/>
          <w:sz w:val="28"/>
          <w:szCs w:val="28"/>
        </w:rPr>
        <w:t>5.具备《中华人民共和国政府采购法》第二十二条第一款的条件。</w:t>
      </w:r>
    </w:p>
    <w:p w14:paraId="0DB0D764">
      <w:pPr>
        <w:spacing w:line="360" w:lineRule="auto"/>
        <w:ind w:firstLine="560" w:firstLineChars="200"/>
        <w:jc w:val="left"/>
        <w:rPr>
          <w:rFonts w:ascii="宋体" w:hAnsi="宋体"/>
          <w:sz w:val="28"/>
          <w:szCs w:val="28"/>
        </w:rPr>
      </w:pPr>
      <w:r>
        <w:rPr>
          <w:rFonts w:hint="eastAsia" w:ascii="宋体" w:hAnsi="宋体"/>
          <w:sz w:val="28"/>
          <w:szCs w:val="28"/>
        </w:rPr>
        <w:t>6.未被列入失信被执行人、重大税收违法案件当事人名单、政府采购严重违法失信行为记录名单。</w:t>
      </w:r>
    </w:p>
    <w:p w14:paraId="72147319">
      <w:pPr>
        <w:spacing w:line="360" w:lineRule="auto"/>
        <w:ind w:firstLine="560" w:firstLineChars="200"/>
        <w:jc w:val="left"/>
        <w:rPr>
          <w:rFonts w:ascii="宋体" w:hAnsi="宋体"/>
          <w:sz w:val="28"/>
          <w:szCs w:val="28"/>
        </w:rPr>
      </w:pPr>
      <w:r>
        <w:rPr>
          <w:rFonts w:hint="eastAsia" w:ascii="宋体" w:hAnsi="宋体"/>
          <w:sz w:val="28"/>
          <w:szCs w:val="28"/>
        </w:rPr>
        <w:t>注：“信用中国”、“中国政府采购网”以及“深圳市政府采购监管网”为供应商信用信息的查询渠道。</w:t>
      </w:r>
    </w:p>
    <w:p w14:paraId="19D21352">
      <w:pPr>
        <w:spacing w:line="360" w:lineRule="auto"/>
        <w:ind w:firstLine="560" w:firstLineChars="200"/>
        <w:jc w:val="left"/>
        <w:rPr>
          <w:rFonts w:ascii="宋体" w:hAnsi="宋体"/>
          <w:sz w:val="28"/>
          <w:szCs w:val="28"/>
        </w:rPr>
      </w:pPr>
      <w:r>
        <w:rPr>
          <w:rFonts w:hint="eastAsia" w:ascii="宋体" w:hAnsi="宋体"/>
          <w:sz w:val="28"/>
          <w:szCs w:val="28"/>
        </w:rPr>
        <w:t>7.具备独立法人资格，具备有效的营业执照，不接受联合体报价。</w:t>
      </w:r>
    </w:p>
    <w:p w14:paraId="58D3E2D2">
      <w:pPr>
        <w:spacing w:line="360" w:lineRule="auto"/>
        <w:ind w:firstLine="562" w:firstLineChars="200"/>
        <w:jc w:val="left"/>
        <w:rPr>
          <w:rFonts w:ascii="宋体" w:hAnsi="宋体"/>
          <w:b/>
          <w:bCs/>
          <w:color w:val="FF0000"/>
          <w:sz w:val="28"/>
          <w:szCs w:val="28"/>
        </w:rPr>
      </w:pPr>
      <w:r>
        <w:rPr>
          <w:rFonts w:hint="eastAsia" w:ascii="宋体" w:hAnsi="宋体"/>
          <w:b/>
          <w:bCs/>
          <w:sz w:val="28"/>
          <w:szCs w:val="28"/>
        </w:rPr>
        <w:t>8.</w:t>
      </w:r>
      <w:r>
        <w:rPr>
          <w:rFonts w:hint="eastAsia" w:ascii="宋体" w:hAnsi="宋体"/>
          <w:b/>
          <w:bCs/>
        </w:rPr>
        <w:t xml:space="preserve"> </w:t>
      </w:r>
      <w:r>
        <w:rPr>
          <w:rFonts w:hint="eastAsia" w:ascii="宋体" w:hAnsi="宋体"/>
          <w:b/>
          <w:bCs/>
          <w:sz w:val="28"/>
          <w:szCs w:val="28"/>
        </w:rPr>
        <w:t>投标人资质要求：</w:t>
      </w:r>
      <w:r>
        <w:rPr>
          <w:rFonts w:ascii="宋体" w:hAnsi="宋体"/>
          <w:b/>
          <w:bCs/>
          <w:color w:val="FF0000"/>
          <w:sz w:val="28"/>
          <w:szCs w:val="28"/>
        </w:rPr>
        <w:t>具有国家建设行政主管部门颁发的市政行业（</w:t>
      </w:r>
      <w:r>
        <w:rPr>
          <w:rFonts w:hint="eastAsia" w:ascii="宋体" w:hAnsi="宋体"/>
          <w:b/>
          <w:bCs/>
          <w:color w:val="FF0000"/>
          <w:sz w:val="28"/>
          <w:szCs w:val="28"/>
          <w:lang w:val="en-US" w:eastAsia="zh-CN"/>
        </w:rPr>
        <w:t>道路工程</w:t>
      </w:r>
      <w:r>
        <w:rPr>
          <w:rFonts w:ascii="宋体" w:hAnsi="宋体"/>
          <w:b/>
          <w:bCs/>
          <w:color w:val="FF0000"/>
          <w:sz w:val="28"/>
          <w:szCs w:val="28"/>
        </w:rPr>
        <w:t>）专业</w:t>
      </w:r>
      <w:r>
        <w:rPr>
          <w:rFonts w:hint="eastAsia" w:ascii="宋体" w:hAnsi="宋体"/>
          <w:b/>
          <w:bCs/>
          <w:color w:val="FF0000"/>
          <w:sz w:val="28"/>
          <w:szCs w:val="28"/>
          <w:lang w:val="en-US" w:eastAsia="zh-CN"/>
        </w:rPr>
        <w:t>乙</w:t>
      </w:r>
      <w:r>
        <w:rPr>
          <w:rFonts w:ascii="宋体" w:hAnsi="宋体"/>
          <w:b/>
          <w:bCs/>
          <w:color w:val="FF0000"/>
          <w:sz w:val="28"/>
          <w:szCs w:val="28"/>
        </w:rPr>
        <w:t>级</w:t>
      </w:r>
      <w:r>
        <w:rPr>
          <w:rFonts w:hint="eastAsia" w:ascii="宋体" w:hAnsi="宋体"/>
          <w:b/>
          <w:bCs/>
          <w:color w:val="FF0000"/>
          <w:sz w:val="28"/>
          <w:szCs w:val="28"/>
          <w:lang w:eastAsia="zh-CN"/>
        </w:rPr>
        <w:t>、</w:t>
      </w:r>
      <w:r>
        <w:rPr>
          <w:rFonts w:hint="eastAsia" w:ascii="宋体" w:hAnsi="宋体"/>
          <w:b/>
          <w:bCs/>
          <w:color w:val="FF0000"/>
          <w:sz w:val="28"/>
          <w:szCs w:val="28"/>
          <w:lang w:val="en-US" w:eastAsia="zh-CN"/>
        </w:rPr>
        <w:t>城乡规划(国土空间规划)乙级</w:t>
      </w:r>
      <w:r>
        <w:rPr>
          <w:rFonts w:ascii="宋体" w:hAnsi="宋体"/>
          <w:b/>
          <w:bCs/>
          <w:color w:val="FF0000"/>
          <w:sz w:val="28"/>
          <w:szCs w:val="28"/>
        </w:rPr>
        <w:t>或以上设计资质。</w:t>
      </w:r>
    </w:p>
    <w:p w14:paraId="27A43919">
      <w:pPr>
        <w:pStyle w:val="11"/>
        <w:numPr>
          <w:ilvl w:val="0"/>
          <w:numId w:val="0"/>
        </w:numPr>
        <w:ind w:leftChars="0"/>
        <w:jc w:val="left"/>
        <w:rPr>
          <w:rFonts w:ascii="宋体" w:hAnsi="宋体"/>
          <w:b/>
          <w:sz w:val="28"/>
          <w:szCs w:val="28"/>
        </w:rPr>
      </w:pPr>
      <w:r>
        <w:rPr>
          <w:rFonts w:hint="eastAsia" w:ascii="宋体" w:hAnsi="宋体"/>
          <w:b/>
          <w:sz w:val="28"/>
          <w:szCs w:val="28"/>
          <w:lang w:val="en-US" w:eastAsia="zh-CN"/>
        </w:rPr>
        <w:t>六、</w:t>
      </w:r>
      <w:r>
        <w:rPr>
          <w:rFonts w:hint="eastAsia" w:ascii="宋体" w:hAnsi="宋体"/>
          <w:b/>
          <w:sz w:val="28"/>
          <w:szCs w:val="28"/>
        </w:rPr>
        <w:t>采购项目需要落实的政府采购政策：</w:t>
      </w:r>
    </w:p>
    <w:p w14:paraId="78CB9783">
      <w:pPr>
        <w:spacing w:line="360" w:lineRule="auto"/>
        <w:ind w:firstLine="560" w:firstLineChars="200"/>
        <w:jc w:val="left"/>
        <w:rPr>
          <w:rFonts w:ascii="宋体" w:hAnsi="宋体"/>
          <w:sz w:val="28"/>
          <w:szCs w:val="28"/>
        </w:rPr>
      </w:pPr>
      <w:r>
        <w:rPr>
          <w:rFonts w:hint="eastAsia" w:ascii="宋体" w:hAnsi="宋体"/>
          <w:sz w:val="28"/>
          <w:szCs w:val="28"/>
        </w:rPr>
        <w:t>按《政府采购促进中小企业发展管理办法》（财库〔2020〕46号）、《财政部司法部关于政府采购支持监狱企业发展有关问题的通知》（财库〔2014〕68号）和《三部门联合发布关于促进残疾人就业政府采购政策的通知》（财库〔2017〕141号）的有关规定执行。</w:t>
      </w:r>
    </w:p>
    <w:p w14:paraId="40E2BBD0">
      <w:pPr>
        <w:pStyle w:val="11"/>
        <w:numPr>
          <w:ilvl w:val="0"/>
          <w:numId w:val="0"/>
        </w:numPr>
        <w:ind w:leftChars="0"/>
        <w:jc w:val="left"/>
        <w:rPr>
          <w:rFonts w:ascii="宋体" w:hAnsi="宋体"/>
          <w:b/>
          <w:sz w:val="28"/>
          <w:szCs w:val="28"/>
        </w:rPr>
      </w:pPr>
      <w:r>
        <w:rPr>
          <w:rFonts w:hint="eastAsia" w:ascii="宋体" w:hAnsi="宋体"/>
          <w:b/>
          <w:sz w:val="28"/>
          <w:szCs w:val="28"/>
          <w:lang w:val="en-US" w:eastAsia="zh-CN"/>
        </w:rPr>
        <w:t>七、</w:t>
      </w:r>
      <w:r>
        <w:rPr>
          <w:rFonts w:hint="eastAsia" w:ascii="宋体" w:hAnsi="宋体"/>
          <w:b/>
          <w:sz w:val="28"/>
          <w:szCs w:val="28"/>
        </w:rPr>
        <w:t>重要提示：</w:t>
      </w:r>
    </w:p>
    <w:p w14:paraId="7EDC95A7">
      <w:pPr>
        <w:spacing w:line="360" w:lineRule="auto"/>
        <w:ind w:firstLine="560" w:firstLineChars="200"/>
        <w:jc w:val="left"/>
        <w:rPr>
          <w:rFonts w:ascii="宋体" w:hAnsi="宋体"/>
          <w:sz w:val="28"/>
          <w:szCs w:val="28"/>
        </w:rPr>
      </w:pPr>
      <w:r>
        <w:rPr>
          <w:rFonts w:hint="eastAsia" w:ascii="宋体" w:hAnsi="宋体"/>
          <w:sz w:val="28"/>
          <w:szCs w:val="28"/>
        </w:rPr>
        <w:t>1.报价单内容按照统一模板填写（详看附件），分别列出本工程需要招标的各项目，填写总价。</w:t>
      </w:r>
    </w:p>
    <w:p w14:paraId="76DE92EC">
      <w:pPr>
        <w:spacing w:line="360" w:lineRule="auto"/>
        <w:ind w:firstLine="560" w:firstLineChars="200"/>
        <w:jc w:val="left"/>
        <w:rPr>
          <w:rFonts w:ascii="宋体" w:hAnsi="宋体"/>
          <w:sz w:val="28"/>
          <w:szCs w:val="28"/>
        </w:rPr>
      </w:pPr>
      <w:r>
        <w:rPr>
          <w:rFonts w:hint="eastAsia" w:ascii="宋体" w:hAnsi="宋体"/>
          <w:sz w:val="28"/>
          <w:szCs w:val="28"/>
        </w:rPr>
        <w:t>2.供应商报价为市场摸底，最终采购方式由采购人负责解释。</w:t>
      </w:r>
    </w:p>
    <w:p w14:paraId="082F0B2F">
      <w:pPr>
        <w:spacing w:line="360" w:lineRule="auto"/>
        <w:ind w:firstLine="560" w:firstLineChars="200"/>
        <w:jc w:val="left"/>
        <w:rPr>
          <w:rFonts w:ascii="宋体" w:hAnsi="宋体"/>
          <w:sz w:val="28"/>
          <w:szCs w:val="28"/>
        </w:rPr>
      </w:pPr>
      <w:r>
        <w:rPr>
          <w:rFonts w:hint="eastAsia" w:ascii="宋体" w:hAnsi="宋体"/>
          <w:sz w:val="28"/>
          <w:szCs w:val="28"/>
        </w:rPr>
        <w:t>3.本公告期限:符合资格的供应商应当在2026年</w:t>
      </w:r>
      <w:r>
        <w:rPr>
          <w:rFonts w:hint="eastAsia" w:ascii="宋体" w:hAnsi="宋体"/>
          <w:sz w:val="28"/>
          <w:szCs w:val="28"/>
          <w:lang w:val="en-US" w:eastAsia="zh-CN"/>
        </w:rPr>
        <w:t>9</w:t>
      </w:r>
      <w:r>
        <w:rPr>
          <w:rFonts w:hint="eastAsia" w:ascii="宋体" w:hAnsi="宋体"/>
          <w:sz w:val="28"/>
          <w:szCs w:val="28"/>
        </w:rPr>
        <w:t>月</w:t>
      </w:r>
      <w:r>
        <w:rPr>
          <w:rFonts w:hint="eastAsia" w:ascii="宋体" w:hAnsi="宋体"/>
          <w:color w:val="FF0000"/>
          <w:sz w:val="28"/>
          <w:szCs w:val="28"/>
          <w:lang w:val="en-US" w:eastAsia="zh-CN"/>
        </w:rPr>
        <w:t>7</w:t>
      </w:r>
      <w:r>
        <w:rPr>
          <w:rFonts w:hint="eastAsia" w:ascii="宋体" w:hAnsi="宋体"/>
          <w:sz w:val="28"/>
          <w:szCs w:val="28"/>
        </w:rPr>
        <w:t>日上午9:00至2026年</w:t>
      </w:r>
      <w:r>
        <w:rPr>
          <w:rFonts w:hint="eastAsia" w:ascii="宋体" w:hAnsi="宋体"/>
          <w:sz w:val="28"/>
          <w:szCs w:val="28"/>
          <w:lang w:val="en-US" w:eastAsia="zh-CN"/>
        </w:rPr>
        <w:t>9</w:t>
      </w:r>
      <w:r>
        <w:rPr>
          <w:rFonts w:hint="eastAsia" w:ascii="宋体" w:hAnsi="宋体"/>
          <w:sz w:val="28"/>
          <w:szCs w:val="28"/>
        </w:rPr>
        <w:t>月</w:t>
      </w:r>
      <w:r>
        <w:rPr>
          <w:rFonts w:hint="eastAsia" w:ascii="宋体" w:hAnsi="宋体"/>
          <w:color w:val="FF0000"/>
          <w:sz w:val="28"/>
          <w:szCs w:val="28"/>
          <w:lang w:val="en-US" w:eastAsia="zh-CN"/>
        </w:rPr>
        <w:t>17</w:t>
      </w:r>
      <w:r>
        <w:rPr>
          <w:rFonts w:hint="eastAsia" w:ascii="宋体" w:hAnsi="宋体"/>
          <w:sz w:val="28"/>
          <w:szCs w:val="28"/>
        </w:rPr>
        <w:t>日下午6:00期间将报价单分别发送至以下两个邮箱：</w:t>
      </w:r>
    </w:p>
    <w:p w14:paraId="2B57CBA7">
      <w:pPr>
        <w:spacing w:line="360" w:lineRule="auto"/>
        <w:ind w:firstLine="560" w:firstLineChars="200"/>
        <w:jc w:val="left"/>
        <w:rPr>
          <w:rFonts w:ascii="宋体" w:hAnsi="宋体"/>
          <w:sz w:val="28"/>
          <w:szCs w:val="28"/>
        </w:rPr>
      </w:pPr>
      <w:r>
        <w:rPr>
          <w:rFonts w:hint="eastAsia" w:ascii="宋体" w:hAnsi="宋体"/>
          <w:sz w:val="28"/>
          <w:szCs w:val="28"/>
        </w:rPr>
        <w:t>深圳市世纪百合房地产开发有限公司</w:t>
      </w:r>
    </w:p>
    <w:p w14:paraId="1377B6A1">
      <w:pPr>
        <w:spacing w:line="360" w:lineRule="auto"/>
        <w:ind w:firstLine="560" w:firstLineChars="200"/>
        <w:jc w:val="left"/>
        <w:rPr>
          <w:rFonts w:ascii="宋体" w:hAnsi="宋体"/>
          <w:sz w:val="28"/>
          <w:szCs w:val="28"/>
        </w:rPr>
      </w:pPr>
      <w:r>
        <w:rPr>
          <w:rFonts w:hint="eastAsia" w:ascii="宋体" w:hAnsi="宋体"/>
          <w:sz w:val="28"/>
          <w:szCs w:val="28"/>
        </w:rPr>
        <w:t>采购办：380960730@qq.com</w:t>
      </w:r>
    </w:p>
    <w:p w14:paraId="3BD7868D">
      <w:pPr>
        <w:spacing w:line="360" w:lineRule="auto"/>
        <w:ind w:firstLine="560" w:firstLineChars="200"/>
        <w:jc w:val="left"/>
        <w:rPr>
          <w:rFonts w:ascii="宋体" w:hAnsi="宋体"/>
          <w:sz w:val="28"/>
          <w:szCs w:val="28"/>
        </w:rPr>
      </w:pPr>
      <w:r>
        <w:rPr>
          <w:rFonts w:hint="eastAsia" w:ascii="宋体" w:hAnsi="宋体"/>
          <w:sz w:val="28"/>
          <w:szCs w:val="28"/>
        </w:rPr>
        <w:t>lizhengquan-3000@163.com</w:t>
      </w:r>
    </w:p>
    <w:p w14:paraId="28A043BD">
      <w:pPr>
        <w:spacing w:line="360" w:lineRule="auto"/>
        <w:ind w:firstLine="560" w:firstLineChars="200"/>
        <w:jc w:val="left"/>
        <w:rPr>
          <w:rFonts w:ascii="宋体" w:hAnsi="宋体"/>
          <w:sz w:val="28"/>
          <w:szCs w:val="28"/>
        </w:rPr>
      </w:pPr>
      <w:r>
        <w:rPr>
          <w:rFonts w:hint="eastAsia" w:ascii="宋体" w:hAnsi="宋体"/>
          <w:sz w:val="28"/>
          <w:szCs w:val="28"/>
        </w:rPr>
        <w:t>（5个工作日,公布当天不算）</w:t>
      </w:r>
    </w:p>
    <w:p w14:paraId="1E512133">
      <w:pPr>
        <w:spacing w:line="360" w:lineRule="auto"/>
        <w:ind w:firstLine="560" w:firstLineChars="200"/>
        <w:jc w:val="left"/>
        <w:rPr>
          <w:rFonts w:ascii="宋体" w:hAnsi="宋体"/>
          <w:sz w:val="28"/>
          <w:szCs w:val="28"/>
        </w:rPr>
      </w:pPr>
      <w:r>
        <w:rPr>
          <w:rFonts w:hint="eastAsia" w:ascii="宋体" w:hAnsi="宋体"/>
          <w:sz w:val="28"/>
          <w:szCs w:val="28"/>
        </w:rPr>
        <w:t>4.采购人及相关部门有权对中标供应商就本项目资格条款要求提供的相关证明资料（原件）进行审查。供应商提供虚假资料被查实的，则可能面临被取消本项目报价资格、列入不良行为记录名单、三年内禁止参与深圳市政府采购活动的风险。</w:t>
      </w:r>
    </w:p>
    <w:p w14:paraId="46109872">
      <w:pPr>
        <w:spacing w:line="360" w:lineRule="auto"/>
        <w:ind w:firstLine="560" w:firstLineChars="200"/>
        <w:jc w:val="left"/>
        <w:rPr>
          <w:rFonts w:hint="eastAsia" w:ascii="宋体" w:hAnsi="宋体"/>
          <w:sz w:val="28"/>
          <w:szCs w:val="28"/>
        </w:rPr>
      </w:pPr>
      <w:r>
        <w:rPr>
          <w:rFonts w:hint="eastAsia" w:ascii="宋体" w:hAnsi="宋体"/>
          <w:sz w:val="28"/>
          <w:szCs w:val="28"/>
        </w:rPr>
        <w:t>5.本询价公告及本项目招标文件所涉及的时间一律为北京时间。</w:t>
      </w:r>
    </w:p>
    <w:p w14:paraId="14A8B5ED">
      <w:pPr>
        <w:widowControl w:val="0"/>
        <w:kinsoku/>
        <w:wordWrap/>
        <w:overflowPunct/>
        <w:topLinePunct w:val="0"/>
        <w:bidi w:val="0"/>
        <w:spacing w:before="157" w:beforeLines="50" w:after="157" w:afterLines="50" w:line="360" w:lineRule="auto"/>
        <w:ind w:left="0" w:firstLine="562" w:firstLineChars="200"/>
        <w:jc w:val="left"/>
        <w:textAlignment w:val="auto"/>
        <w:outlineLvl w:val="9"/>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八、工作费用预估</w:t>
      </w:r>
    </w:p>
    <w:p w14:paraId="7C94F25A">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left="0" w:firstLine="562" w:firstLineChars="200"/>
        <w:jc w:val="left"/>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（1）公交首末站方案设计</w:t>
      </w:r>
    </w:p>
    <w:p w14:paraId="56254FE9">
      <w:pPr>
        <w:keepNext w:val="0"/>
        <w:keepLines w:val="0"/>
        <w:widowControl w:val="0"/>
        <w:kinsoku/>
        <w:wordWrap/>
        <w:overflowPunct/>
        <w:topLinePunct w:val="0"/>
        <w:autoSpaceDE/>
        <w:autoSpaceDN/>
        <w:bidi w:val="0"/>
        <w:adjustRightInd w:val="0"/>
        <w:snapToGrid w:val="0"/>
        <w:spacing w:before="157" w:beforeLines="50" w:after="157" w:afterLines="50" w:afterAutospacing="0" w:line="360" w:lineRule="auto"/>
        <w:ind w:left="0" w:firstLine="562" w:firstLineChars="200"/>
        <w:jc w:val="left"/>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1）收费依据：深圳市交通规划及课题研究项目取费指引（2022年修订稿）</w:t>
      </w:r>
    </w:p>
    <w:p w14:paraId="0EBF85BF">
      <w:pPr>
        <w:pStyle w:val="12"/>
        <w:widowControl w:val="0"/>
        <w:kinsoku/>
        <w:wordWrap/>
        <w:overflowPunct/>
        <w:topLinePunct w:val="0"/>
        <w:bidi w:val="0"/>
        <w:adjustRightInd w:val="0"/>
        <w:snapToGrid w:val="0"/>
        <w:spacing w:before="157" w:beforeLines="50" w:after="157" w:afterLines="50" w:line="360" w:lineRule="auto"/>
        <w:ind w:left="0" w:firstLine="560" w:firstLineChars="200"/>
        <w:jc w:val="left"/>
        <w:textAlignment w:val="auto"/>
        <w:outlineLvl w:val="9"/>
        <w:rPr>
          <w:rFonts w:hint="eastAsia" w:ascii="宋体" w:hAnsi="宋体" w:eastAsia="宋体" w:cs="宋体"/>
          <w:color w:val="auto"/>
          <w:kern w:val="2"/>
          <w:sz w:val="28"/>
          <w:szCs w:val="28"/>
          <w:lang w:val="en-US" w:eastAsia="zh-CN" w:bidi="ar-SA"/>
        </w:rPr>
      </w:pPr>
      <w:bookmarkStart w:id="0" w:name="_Hlk106265032"/>
      <w:r>
        <w:rPr>
          <w:rFonts w:hint="eastAsia" w:ascii="宋体" w:hAnsi="宋体" w:eastAsia="宋体" w:cs="宋体"/>
          <w:color w:val="auto"/>
          <w:kern w:val="2"/>
          <w:sz w:val="28"/>
          <w:szCs w:val="28"/>
          <w:lang w:val="en-US" w:eastAsia="zh-CN" w:bidi="ar-SA"/>
        </w:rPr>
        <w:t>公交首末站设计</w:t>
      </w:r>
      <w:bookmarkEnd w:id="0"/>
      <w:r>
        <w:rPr>
          <w:rFonts w:hint="eastAsia" w:ascii="宋体" w:hAnsi="宋体" w:eastAsia="宋体" w:cs="宋体"/>
          <w:color w:val="auto"/>
          <w:kern w:val="2"/>
          <w:sz w:val="28"/>
          <w:szCs w:val="28"/>
          <w:lang w:val="en-US" w:eastAsia="zh-CN" w:bidi="ar-SA"/>
        </w:rPr>
        <w:t>收费＝收费基价×难度调整系数，公交首末站总建筑面积为1500-3000m²（含）的，收费基价为</w:t>
      </w:r>
      <w:r>
        <w:rPr>
          <w:rFonts w:hint="eastAsia" w:ascii="宋体" w:hAnsi="宋体" w:eastAsia="宋体" w:cs="宋体"/>
          <w:color w:val="auto"/>
          <w:kern w:val="2"/>
          <w:sz w:val="28"/>
          <w:szCs w:val="28"/>
          <w:lang w:val="en-US" w:eastAsia="en-US" w:bidi="ar-SA"/>
        </w:rPr>
        <w:t>150,000+超过1500部分建筑面积×80</w:t>
      </w:r>
      <w:r>
        <w:rPr>
          <w:rFonts w:hint="eastAsia" w:ascii="宋体" w:hAnsi="宋体" w:eastAsia="宋体" w:cs="宋体"/>
          <w:color w:val="auto"/>
          <w:kern w:val="2"/>
          <w:sz w:val="28"/>
          <w:szCs w:val="28"/>
          <w:lang w:val="en-US" w:eastAsia="zh-CN" w:bidi="ar-SA"/>
        </w:rPr>
        <w:t>。</w:t>
      </w:r>
    </w:p>
    <w:p w14:paraId="0B2E4748">
      <w:pPr>
        <w:pStyle w:val="12"/>
        <w:widowControl w:val="0"/>
        <w:numPr>
          <w:ilvl w:val="0"/>
          <w:numId w:val="0"/>
        </w:numPr>
        <w:kinsoku/>
        <w:wordWrap/>
        <w:overflowPunct/>
        <w:topLinePunct w:val="0"/>
        <w:bidi w:val="0"/>
        <w:adjustRightInd w:val="0"/>
        <w:snapToGrid w:val="0"/>
        <w:spacing w:before="157" w:beforeLines="50" w:after="157" w:afterLines="50" w:line="360" w:lineRule="auto"/>
        <w:ind w:left="0" w:firstLine="562" w:firstLineChars="200"/>
        <w:jc w:val="left"/>
        <w:textAlignment w:val="auto"/>
        <w:outlineLvl w:val="9"/>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2）工作费用计算</w:t>
      </w:r>
    </w:p>
    <w:p w14:paraId="4FB5E5F9">
      <w:pPr>
        <w:pStyle w:val="12"/>
        <w:widowControl w:val="0"/>
        <w:kinsoku/>
        <w:wordWrap/>
        <w:overflowPunct/>
        <w:topLinePunct w:val="0"/>
        <w:bidi w:val="0"/>
        <w:adjustRightInd w:val="0"/>
        <w:snapToGrid w:val="0"/>
        <w:spacing w:before="157" w:beforeLines="50" w:after="157" w:afterLines="50" w:line="360" w:lineRule="auto"/>
        <w:ind w:left="0" w:firstLine="560" w:firstLineChars="200"/>
        <w:jc w:val="left"/>
        <w:textAlignment w:val="auto"/>
        <w:outlineLvl w:val="9"/>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lang w:val="en-US" w:eastAsia="zh-CN"/>
        </w:rPr>
        <w:t>本项目</w:t>
      </w:r>
      <w:r>
        <w:rPr>
          <w:rFonts w:hint="eastAsia" w:ascii="宋体" w:hAnsi="宋体" w:eastAsia="宋体" w:cs="宋体"/>
          <w:color w:val="auto"/>
          <w:kern w:val="2"/>
          <w:sz w:val="28"/>
          <w:szCs w:val="28"/>
          <w:lang w:val="en-US" w:eastAsia="zh-CN" w:bidi="ar-SA"/>
        </w:rPr>
        <w:t>配建公交首末站为2654m²，工作费用计算如下：</w:t>
      </w:r>
    </w:p>
    <w:p w14:paraId="2FF78563">
      <w:pPr>
        <w:pStyle w:val="12"/>
        <w:widowControl w:val="0"/>
        <w:kinsoku/>
        <w:wordWrap/>
        <w:overflowPunct/>
        <w:topLinePunct w:val="0"/>
        <w:bidi w:val="0"/>
        <w:adjustRightInd w:val="0"/>
        <w:snapToGrid w:val="0"/>
        <w:spacing w:before="157" w:beforeLines="50" w:after="157" w:afterLines="50" w:line="360" w:lineRule="auto"/>
        <w:ind w:left="0" w:firstLine="560" w:firstLineChars="200"/>
        <w:jc w:val="left"/>
        <w:textAlignment w:val="auto"/>
        <w:outlineLvl w:val="9"/>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公交首末站方案设计费用=【150000+（1154</w:t>
      </w:r>
      <w:r>
        <w:rPr>
          <w:rFonts w:hint="eastAsia" w:ascii="宋体" w:hAnsi="宋体" w:eastAsia="宋体" w:cs="宋体"/>
          <w:color w:val="auto"/>
          <w:kern w:val="2"/>
          <w:sz w:val="28"/>
          <w:szCs w:val="28"/>
          <w:lang w:val="en-US" w:eastAsia="en-US" w:bidi="ar-SA"/>
        </w:rPr>
        <w:t>×</w:t>
      </w:r>
      <w:r>
        <w:rPr>
          <w:rFonts w:hint="eastAsia" w:ascii="宋体" w:hAnsi="宋体" w:eastAsia="宋体" w:cs="宋体"/>
          <w:color w:val="auto"/>
          <w:kern w:val="2"/>
          <w:sz w:val="28"/>
          <w:szCs w:val="28"/>
          <w:lang w:val="en-US" w:eastAsia="zh-CN" w:bidi="ar-SA"/>
        </w:rPr>
        <w:t>80）】=242,320.00元</w:t>
      </w:r>
    </w:p>
    <w:p w14:paraId="1151242D">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left="0" w:firstLine="562" w:firstLineChars="200"/>
        <w:jc w:val="left"/>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（2）公交首末站施工图设计</w:t>
      </w:r>
    </w:p>
    <w:p w14:paraId="247F4257">
      <w:pPr>
        <w:keepNext w:val="0"/>
        <w:keepLines w:val="0"/>
        <w:widowControl w:val="0"/>
        <w:kinsoku/>
        <w:wordWrap/>
        <w:overflowPunct/>
        <w:topLinePunct w:val="0"/>
        <w:autoSpaceDE/>
        <w:autoSpaceDN/>
        <w:bidi w:val="0"/>
        <w:adjustRightInd w:val="0"/>
        <w:snapToGrid w:val="0"/>
        <w:spacing w:before="157" w:beforeLines="50" w:after="157" w:afterLines="50" w:afterAutospacing="0" w:line="360" w:lineRule="auto"/>
        <w:ind w:left="0" w:firstLine="562" w:firstLineChars="200"/>
        <w:jc w:val="left"/>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1）收费依据：深圳市交通规划及课题研究项目取费指引（2022年修订稿）</w:t>
      </w:r>
    </w:p>
    <w:p w14:paraId="59980F04">
      <w:pPr>
        <w:pStyle w:val="2"/>
        <w:widowControl w:val="0"/>
        <w:kinsoku/>
        <w:wordWrap/>
        <w:overflowPunct/>
        <w:topLinePunct w:val="0"/>
        <w:bidi w:val="0"/>
        <w:spacing w:before="157" w:beforeLines="50" w:after="157" w:afterLines="50" w:line="360" w:lineRule="auto"/>
        <w:ind w:left="0" w:firstLine="560" w:firstLineChars="200"/>
        <w:jc w:val="left"/>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color w:val="auto"/>
          <w:kern w:val="2"/>
          <w:sz w:val="28"/>
          <w:szCs w:val="28"/>
          <w:lang w:val="en-US" w:eastAsia="zh-CN" w:bidi="ar-SA"/>
        </w:rPr>
        <w:t>根据收费指引，公交首末站施工图设计费用按方案设计费用的30%计算。</w:t>
      </w:r>
    </w:p>
    <w:p w14:paraId="35F2CE44">
      <w:pPr>
        <w:pStyle w:val="12"/>
        <w:widowControl w:val="0"/>
        <w:numPr>
          <w:ilvl w:val="0"/>
          <w:numId w:val="0"/>
        </w:numPr>
        <w:kinsoku/>
        <w:wordWrap/>
        <w:overflowPunct/>
        <w:topLinePunct w:val="0"/>
        <w:bidi w:val="0"/>
        <w:adjustRightInd w:val="0"/>
        <w:snapToGrid w:val="0"/>
        <w:spacing w:before="157" w:beforeLines="50" w:after="157" w:afterLines="50" w:line="360" w:lineRule="auto"/>
        <w:ind w:left="0" w:firstLine="562" w:firstLineChars="200"/>
        <w:jc w:val="left"/>
        <w:textAlignment w:val="auto"/>
        <w:outlineLvl w:val="9"/>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2）工作费用计算</w:t>
      </w:r>
    </w:p>
    <w:p w14:paraId="6AA42FC7">
      <w:pPr>
        <w:pStyle w:val="12"/>
        <w:widowControl w:val="0"/>
        <w:kinsoku/>
        <w:wordWrap/>
        <w:overflowPunct/>
        <w:topLinePunct w:val="0"/>
        <w:bidi w:val="0"/>
        <w:adjustRightInd w:val="0"/>
        <w:snapToGrid w:val="0"/>
        <w:spacing w:before="157" w:beforeLines="50" w:after="157" w:afterLines="50" w:line="360" w:lineRule="auto"/>
        <w:ind w:left="0" w:firstLine="560" w:firstLineChars="200"/>
        <w:jc w:val="left"/>
        <w:textAlignment w:val="auto"/>
        <w:outlineLvl w:val="9"/>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lang w:val="en-US" w:eastAsia="zh-CN"/>
        </w:rPr>
        <w:t>本项目</w:t>
      </w:r>
      <w:r>
        <w:rPr>
          <w:rFonts w:hint="eastAsia" w:ascii="宋体" w:hAnsi="宋体" w:eastAsia="宋体" w:cs="宋体"/>
          <w:color w:val="auto"/>
          <w:kern w:val="2"/>
          <w:sz w:val="28"/>
          <w:szCs w:val="28"/>
          <w:lang w:val="en-US" w:eastAsia="zh-CN" w:bidi="ar-SA"/>
        </w:rPr>
        <w:t>配建公交首末站为2654m²，工作费用计算如下：</w:t>
      </w:r>
    </w:p>
    <w:p w14:paraId="19DEC601">
      <w:pPr>
        <w:pStyle w:val="12"/>
        <w:widowControl w:val="0"/>
        <w:kinsoku/>
        <w:wordWrap/>
        <w:overflowPunct/>
        <w:topLinePunct w:val="0"/>
        <w:bidi w:val="0"/>
        <w:adjustRightInd w:val="0"/>
        <w:snapToGrid w:val="0"/>
        <w:spacing w:before="157" w:beforeLines="50" w:after="157" w:afterLines="50" w:line="360" w:lineRule="auto"/>
        <w:ind w:left="0" w:firstLine="560" w:firstLineChars="200"/>
        <w:jc w:val="left"/>
        <w:textAlignment w:val="auto"/>
        <w:outlineLvl w:val="9"/>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公交首末站施工图设计费用=242320</w:t>
      </w:r>
      <w:r>
        <w:rPr>
          <w:rFonts w:hint="eastAsia" w:ascii="宋体" w:hAnsi="宋体" w:eastAsia="宋体" w:cs="宋体"/>
          <w:color w:val="auto"/>
          <w:kern w:val="2"/>
          <w:sz w:val="28"/>
          <w:szCs w:val="28"/>
          <w:lang w:val="en-US" w:eastAsia="en-US" w:bidi="ar-SA"/>
        </w:rPr>
        <w:t>×</w:t>
      </w:r>
      <w:r>
        <w:rPr>
          <w:rFonts w:hint="eastAsia" w:ascii="宋体" w:hAnsi="宋体" w:eastAsia="宋体" w:cs="宋体"/>
          <w:color w:val="auto"/>
          <w:kern w:val="2"/>
          <w:sz w:val="28"/>
          <w:szCs w:val="28"/>
          <w:lang w:val="en-US" w:eastAsia="zh-CN" w:bidi="ar-SA"/>
        </w:rPr>
        <w:t>30%=72,696.00元</w:t>
      </w:r>
    </w:p>
    <w:p w14:paraId="2864BC5D">
      <w:pPr>
        <w:pStyle w:val="12"/>
        <w:widowControl w:val="0"/>
        <w:kinsoku/>
        <w:wordWrap/>
        <w:overflowPunct/>
        <w:topLinePunct w:val="0"/>
        <w:bidi w:val="0"/>
        <w:adjustRightInd w:val="0"/>
        <w:snapToGrid w:val="0"/>
        <w:spacing w:before="157" w:beforeLines="50" w:after="157" w:afterLines="50" w:line="360" w:lineRule="auto"/>
        <w:ind w:left="0" w:firstLine="562" w:firstLineChars="200"/>
        <w:jc w:val="left"/>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本项目公交首末站方案设计及施工图设计两项费用合计为：242320+72696元。</w:t>
      </w:r>
    </w:p>
    <w:p w14:paraId="3FECF4C1">
      <w:pPr>
        <w:widowControl w:val="0"/>
        <w:kinsoku/>
        <w:wordWrap/>
        <w:overflowPunct/>
        <w:topLinePunct w:val="0"/>
        <w:bidi w:val="0"/>
        <w:spacing w:before="157" w:beforeLines="50" w:after="157" w:afterLines="50" w:line="360" w:lineRule="auto"/>
        <w:ind w:left="0" w:firstLine="562" w:firstLineChars="200"/>
        <w:jc w:val="left"/>
        <w:textAlignment w:val="auto"/>
        <w:outlineLvl w:val="9"/>
        <w:rPr>
          <w:rFonts w:hint="eastAsia" w:ascii="宋体" w:hAnsi="宋体" w:eastAsia="宋体" w:cs="宋体"/>
          <w:b/>
          <w:color w:val="auto"/>
          <w:sz w:val="28"/>
          <w:szCs w:val="28"/>
        </w:rPr>
      </w:pPr>
      <w:r>
        <w:rPr>
          <w:rFonts w:hint="eastAsia" w:ascii="宋体" w:hAnsi="宋体" w:eastAsia="宋体" w:cs="宋体"/>
          <w:b/>
          <w:color w:val="auto"/>
          <w:sz w:val="28"/>
          <w:szCs w:val="28"/>
          <w:lang w:val="en-US" w:eastAsia="zh-CN"/>
        </w:rPr>
        <w:t>九、</w:t>
      </w:r>
      <w:r>
        <w:rPr>
          <w:rFonts w:hint="eastAsia" w:ascii="宋体" w:hAnsi="宋体" w:eastAsia="宋体" w:cs="宋体"/>
          <w:b/>
          <w:color w:val="auto"/>
          <w:sz w:val="28"/>
          <w:szCs w:val="28"/>
        </w:rPr>
        <w:t>联系方式</w:t>
      </w:r>
    </w:p>
    <w:p w14:paraId="28CCF633">
      <w:pPr>
        <w:spacing w:line="360" w:lineRule="auto"/>
        <w:ind w:firstLine="560" w:firstLineChars="200"/>
        <w:jc w:val="left"/>
        <w:rPr>
          <w:rFonts w:ascii="宋体" w:hAnsi="宋体"/>
          <w:sz w:val="28"/>
          <w:szCs w:val="28"/>
        </w:rPr>
      </w:pPr>
      <w:r>
        <w:rPr>
          <w:rFonts w:hint="eastAsia" w:ascii="宋体" w:hAnsi="宋体"/>
          <w:sz w:val="28"/>
          <w:szCs w:val="28"/>
        </w:rPr>
        <w:t>1.采购单位</w:t>
      </w:r>
    </w:p>
    <w:p w14:paraId="65EED151">
      <w:pPr>
        <w:spacing w:line="360" w:lineRule="auto"/>
        <w:ind w:firstLine="560" w:firstLineChars="200"/>
        <w:jc w:val="left"/>
        <w:rPr>
          <w:rFonts w:ascii="宋体" w:hAnsi="宋体"/>
          <w:sz w:val="28"/>
          <w:szCs w:val="28"/>
        </w:rPr>
      </w:pPr>
      <w:r>
        <w:rPr>
          <w:rFonts w:hint="eastAsia" w:ascii="宋体" w:hAnsi="宋体"/>
          <w:sz w:val="28"/>
          <w:szCs w:val="28"/>
        </w:rPr>
        <w:t xml:space="preserve">单位名称：深圳市世纪百合房地产开发有限公司 </w:t>
      </w:r>
    </w:p>
    <w:p w14:paraId="01A8CA57">
      <w:pPr>
        <w:spacing w:line="360" w:lineRule="auto"/>
        <w:ind w:firstLine="560" w:firstLineChars="200"/>
        <w:jc w:val="left"/>
        <w:rPr>
          <w:rFonts w:ascii="宋体" w:hAnsi="宋体"/>
          <w:sz w:val="28"/>
          <w:szCs w:val="28"/>
        </w:rPr>
      </w:pPr>
      <w:r>
        <w:rPr>
          <w:rFonts w:hint="eastAsia" w:ascii="宋体" w:hAnsi="宋体"/>
          <w:sz w:val="28"/>
          <w:szCs w:val="28"/>
        </w:rPr>
        <w:t>联系地址：广东省深圳市龙岗区布吉街道百合星城一期二楼</w:t>
      </w:r>
    </w:p>
    <w:p w14:paraId="4523BD97">
      <w:pPr>
        <w:spacing w:line="360" w:lineRule="auto"/>
        <w:ind w:firstLine="560" w:firstLineChars="200"/>
        <w:jc w:val="left"/>
        <w:rPr>
          <w:rFonts w:ascii="宋体" w:hAnsi="宋体"/>
          <w:sz w:val="28"/>
          <w:szCs w:val="28"/>
        </w:rPr>
      </w:pPr>
      <w:r>
        <w:rPr>
          <w:rFonts w:hint="eastAsia" w:ascii="宋体" w:hAnsi="宋体"/>
          <w:sz w:val="28"/>
          <w:szCs w:val="28"/>
        </w:rPr>
        <w:t>项目联系人：王工</w:t>
      </w:r>
    </w:p>
    <w:p w14:paraId="364E2C99">
      <w:pPr>
        <w:spacing w:line="360" w:lineRule="auto"/>
        <w:ind w:firstLine="560" w:firstLineChars="200"/>
        <w:jc w:val="left"/>
        <w:rPr>
          <w:rFonts w:ascii="宋体" w:hAnsi="宋体"/>
          <w:sz w:val="28"/>
          <w:szCs w:val="28"/>
        </w:rPr>
      </w:pPr>
      <w:r>
        <w:rPr>
          <w:rFonts w:hint="eastAsia" w:ascii="宋体" w:hAnsi="宋体"/>
          <w:sz w:val="28"/>
          <w:szCs w:val="28"/>
        </w:rPr>
        <w:t>联系方式：19147928422</w:t>
      </w:r>
    </w:p>
    <w:p w14:paraId="4B06B968">
      <w:pPr>
        <w:spacing w:line="360" w:lineRule="auto"/>
        <w:ind w:firstLine="560" w:firstLineChars="200"/>
        <w:jc w:val="left"/>
        <w:rPr>
          <w:rFonts w:ascii="宋体" w:hAnsi="宋体"/>
          <w:sz w:val="28"/>
          <w:szCs w:val="28"/>
        </w:rPr>
      </w:pPr>
      <w:r>
        <w:rPr>
          <w:rFonts w:hint="eastAsia" w:ascii="宋体" w:hAnsi="宋体"/>
          <w:sz w:val="28"/>
          <w:szCs w:val="28"/>
        </w:rPr>
        <w:t>2.投诉单位</w:t>
      </w:r>
    </w:p>
    <w:p w14:paraId="42736CF3">
      <w:pPr>
        <w:spacing w:line="360" w:lineRule="auto"/>
        <w:ind w:firstLine="560" w:firstLineChars="200"/>
        <w:jc w:val="left"/>
        <w:rPr>
          <w:rFonts w:ascii="宋体" w:hAnsi="宋体"/>
          <w:sz w:val="28"/>
          <w:szCs w:val="28"/>
        </w:rPr>
      </w:pPr>
      <w:r>
        <w:rPr>
          <w:rFonts w:hint="eastAsia" w:ascii="宋体" w:hAnsi="宋体"/>
          <w:sz w:val="28"/>
          <w:szCs w:val="28"/>
        </w:rPr>
        <w:t>单位名称：深圳市龙岗区布吉街道办</w:t>
      </w:r>
    </w:p>
    <w:p w14:paraId="6C24687A">
      <w:pPr>
        <w:spacing w:line="360" w:lineRule="auto"/>
        <w:ind w:firstLine="560" w:firstLineChars="200"/>
        <w:jc w:val="left"/>
        <w:rPr>
          <w:rFonts w:ascii="宋体" w:hAnsi="宋体"/>
          <w:sz w:val="28"/>
          <w:szCs w:val="28"/>
        </w:rPr>
      </w:pPr>
      <w:r>
        <w:rPr>
          <w:rFonts w:hint="eastAsia" w:ascii="宋体" w:hAnsi="宋体"/>
          <w:sz w:val="28"/>
          <w:szCs w:val="28"/>
        </w:rPr>
        <w:t>详细地址：深圳市龙岗区布吉街道新城区广场路2号</w:t>
      </w:r>
    </w:p>
    <w:p w14:paraId="79C26826">
      <w:pPr>
        <w:spacing w:line="360" w:lineRule="auto"/>
        <w:ind w:firstLine="560" w:firstLineChars="200"/>
        <w:jc w:val="left"/>
        <w:rPr>
          <w:rFonts w:ascii="宋体" w:hAnsi="宋体"/>
          <w:sz w:val="28"/>
          <w:szCs w:val="28"/>
        </w:rPr>
      </w:pPr>
      <w:r>
        <w:rPr>
          <w:rFonts w:hint="eastAsia" w:ascii="宋体" w:hAnsi="宋体"/>
          <w:sz w:val="28"/>
          <w:szCs w:val="28"/>
        </w:rPr>
        <w:t xml:space="preserve">项目联系人：郑工 </w:t>
      </w:r>
    </w:p>
    <w:p w14:paraId="6B4B34F3">
      <w:pPr>
        <w:spacing w:line="360" w:lineRule="auto"/>
        <w:ind w:firstLine="560" w:firstLineChars="200"/>
        <w:jc w:val="left"/>
        <w:rPr>
          <w:rFonts w:hint="eastAsia" w:ascii="宋体" w:hAnsi="宋体"/>
          <w:sz w:val="28"/>
          <w:szCs w:val="28"/>
        </w:rPr>
      </w:pPr>
      <w:r>
        <w:rPr>
          <w:rFonts w:hint="eastAsia" w:ascii="宋体" w:hAnsi="宋体"/>
          <w:sz w:val="28"/>
          <w:szCs w:val="28"/>
        </w:rPr>
        <w:t>联系方式：0755-28539321</w:t>
      </w:r>
    </w:p>
    <w:p w14:paraId="1A5B332E">
      <w:pPr>
        <w:spacing w:line="360" w:lineRule="auto"/>
        <w:ind w:firstLine="560" w:firstLineChars="200"/>
        <w:jc w:val="left"/>
        <w:rPr>
          <w:rFonts w:hint="eastAsia" w:ascii="宋体" w:hAnsi="宋体"/>
          <w:sz w:val="28"/>
          <w:szCs w:val="28"/>
        </w:rPr>
      </w:pPr>
    </w:p>
    <w:p w14:paraId="74DF33D8">
      <w:pPr>
        <w:spacing w:line="360" w:lineRule="auto"/>
        <w:ind w:firstLine="420" w:firstLineChars="200"/>
        <w:jc w:val="left"/>
        <w:rPr>
          <w:rFonts w:hint="eastAsia" w:ascii="宋体" w:hAnsi="宋体"/>
          <w:sz w:val="28"/>
          <w:szCs w:val="28"/>
        </w:rPr>
      </w:pPr>
      <w:r>
        <w:rPr>
          <w:color w:val="auto"/>
        </w:rPr>
        <w:drawing>
          <wp:inline distT="0" distB="0" distL="114300" distR="114300">
            <wp:extent cx="6187440" cy="8338820"/>
            <wp:effectExtent l="0" t="0" r="3810" b="508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7"/>
                    <a:stretch>
                      <a:fillRect/>
                    </a:stretch>
                  </pic:blipFill>
                  <pic:spPr>
                    <a:xfrm>
                      <a:off x="0" y="0"/>
                      <a:ext cx="6187440" cy="8338820"/>
                    </a:xfrm>
                    <a:prstGeom prst="rect">
                      <a:avLst/>
                    </a:prstGeom>
                    <a:noFill/>
                    <a:ln>
                      <a:noFill/>
                    </a:ln>
                  </pic:spPr>
                </pic:pic>
              </a:graphicData>
            </a:graphic>
          </wp:inline>
        </w:drawing>
      </w:r>
    </w:p>
    <w:p w14:paraId="06ADE448">
      <w:r>
        <w:t xml:space="preserve"> </w:t>
      </w:r>
    </w:p>
    <w:p w14:paraId="40DAC8AF">
      <w:pPr>
        <w:sectPr>
          <w:pgSz w:w="11906" w:h="16838"/>
          <w:pgMar w:top="1440" w:right="1800" w:bottom="1440" w:left="1800" w:header="851" w:footer="992" w:gutter="0"/>
          <w:cols w:space="720" w:num="1"/>
          <w:docGrid w:type="lines" w:linePitch="312" w:charSpace="0"/>
        </w:sectPr>
      </w:pPr>
    </w:p>
    <w:p w14:paraId="094702B1">
      <w:pPr>
        <w:widowControl/>
        <w:shd w:val="clear" w:color="auto" w:fill="FFFFFF"/>
        <w:spacing w:line="560" w:lineRule="exact"/>
        <w:rPr>
          <w:rStyle w:val="8"/>
          <w:rFonts w:ascii="仿宋_GB2312" w:hAnsi="仿宋_GB2312" w:eastAsia="仿宋_GB2312" w:cs="仿宋_GB2312"/>
          <w:color w:val="000000"/>
          <w:kern w:val="0"/>
          <w:sz w:val="32"/>
          <w:szCs w:val="32"/>
          <w:shd w:val="clear" w:color="auto" w:fill="FFFFFF"/>
        </w:rPr>
      </w:pPr>
      <w:r>
        <w:rPr>
          <w:rStyle w:val="8"/>
          <w:rFonts w:hint="eastAsia" w:ascii="仿宋_GB2312" w:hAnsi="仿宋_GB2312" w:eastAsia="仿宋_GB2312" w:cs="仿宋_GB2312"/>
          <w:color w:val="000000"/>
          <w:kern w:val="0"/>
          <w:sz w:val="32"/>
          <w:szCs w:val="32"/>
          <w:shd w:val="clear" w:color="auto" w:fill="FFFFFF"/>
        </w:rPr>
        <w:t>附件：（报价单可灵活设计，模板仅供参考）</w:t>
      </w:r>
    </w:p>
    <w:p w14:paraId="26965317">
      <w:pPr>
        <w:widowControl/>
        <w:shd w:val="clear" w:color="auto" w:fill="FFFFFF"/>
        <w:spacing w:line="560" w:lineRule="exact"/>
        <w:rPr>
          <w:rStyle w:val="8"/>
          <w:rFonts w:ascii="仿宋_GB2312" w:hAnsi="仿宋_GB2312" w:eastAsia="仿宋_GB2312" w:cs="仿宋_GB2312"/>
          <w:color w:val="000000"/>
          <w:kern w:val="0"/>
          <w:sz w:val="32"/>
          <w:szCs w:val="32"/>
          <w:shd w:val="clear" w:color="auto" w:fill="FFFFFF"/>
        </w:rPr>
      </w:pPr>
    </w:p>
    <w:p w14:paraId="69986AA8">
      <w:pPr>
        <w:widowControl/>
        <w:shd w:val="clear" w:color="auto" w:fill="FFFFFF"/>
        <w:spacing w:line="560" w:lineRule="exact"/>
        <w:jc w:val="center"/>
        <w:rPr>
          <w:rFonts w:ascii="仿宋_GB2312" w:hAnsi="仿宋_GB2312" w:eastAsia="仿宋_GB2312" w:cs="仿宋_GB2312"/>
          <w:bCs/>
          <w:color w:val="000000"/>
          <w:sz w:val="44"/>
          <w:szCs w:val="44"/>
        </w:rPr>
      </w:pPr>
      <w:r>
        <w:rPr>
          <w:rStyle w:val="8"/>
          <w:rFonts w:hint="eastAsia" w:ascii="方正小标宋_GBK" w:hAnsi="方正小标宋_GBK" w:eastAsia="方正小标宋_GBK" w:cs="方正小标宋_GBK"/>
          <w:bCs/>
          <w:color w:val="000000"/>
          <w:kern w:val="0"/>
          <w:sz w:val="44"/>
          <w:szCs w:val="44"/>
          <w:shd w:val="clear" w:color="auto" w:fill="FFFFFF"/>
        </w:rPr>
        <w:t>项目报价单</w:t>
      </w:r>
    </w:p>
    <w:p w14:paraId="5C746148">
      <w:pPr>
        <w:widowControl/>
        <w:shd w:val="clear" w:color="auto" w:fill="FFFFFF"/>
        <w:spacing w:line="560" w:lineRule="exact"/>
        <w:ind w:firstLine="640" w:firstLineChars="200"/>
        <w:jc w:val="left"/>
        <w:rPr>
          <w:rFonts w:ascii="仿宋_GB2312" w:hAnsi="仿宋_GB2312" w:eastAsia="仿宋_GB2312" w:cs="仿宋_GB2312"/>
          <w:color w:val="000000"/>
          <w:sz w:val="32"/>
          <w:szCs w:val="32"/>
        </w:rPr>
      </w:pPr>
    </w:p>
    <w:p w14:paraId="1BF0DE13">
      <w:pPr>
        <w:widowControl/>
        <w:shd w:val="clear" w:color="auto" w:fill="FFFFFF"/>
        <w:spacing w:line="560" w:lineRule="exact"/>
        <w:jc w:val="left"/>
        <w:rPr>
          <w:rFonts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一、报价内容</w:t>
      </w:r>
    </w:p>
    <w:p w14:paraId="77519FCA">
      <w:pPr>
        <w:widowControl/>
        <w:shd w:val="clear" w:color="auto" w:fill="FFFFFF"/>
        <w:spacing w:line="560"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项目名称：XXX</w:t>
      </w:r>
    </w:p>
    <w:p w14:paraId="33B74141">
      <w:pPr>
        <w:widowControl/>
        <w:shd w:val="clear" w:color="auto" w:fill="FFFFFF"/>
        <w:spacing w:line="560"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采购单位：</w:t>
      </w:r>
    </w:p>
    <w:p w14:paraId="01860AAE">
      <w:pPr>
        <w:widowControl/>
        <w:shd w:val="clear" w:color="auto" w:fill="FFFFFF"/>
        <w:spacing w:line="560"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报价单位：XXX</w:t>
      </w:r>
    </w:p>
    <w:p w14:paraId="4914238E">
      <w:pPr>
        <w:widowControl/>
        <w:shd w:val="clear" w:color="auto" w:fill="FFFFFF"/>
        <w:spacing w:line="560"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报价（总价）：</w:t>
      </w:r>
    </w:p>
    <w:p w14:paraId="4EAE92E0">
      <w:pPr>
        <w:widowControl/>
        <w:shd w:val="clear" w:color="auto" w:fill="FFFFFF"/>
        <w:spacing w:line="560"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联系人：</w:t>
      </w:r>
    </w:p>
    <w:p w14:paraId="05516DF3">
      <w:pPr>
        <w:widowControl/>
        <w:shd w:val="clear" w:color="auto" w:fill="FFFFFF"/>
        <w:spacing w:line="560"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电话：</w:t>
      </w:r>
    </w:p>
    <w:p w14:paraId="3045320D">
      <w:pPr>
        <w:widowControl/>
        <w:shd w:val="clear" w:color="auto" w:fill="FFFFFF"/>
        <w:spacing w:line="560"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地址：</w:t>
      </w:r>
    </w:p>
    <w:p w14:paraId="4688C790">
      <w:pPr>
        <w:widowControl/>
        <w:shd w:val="clear" w:color="auto" w:fill="FFFFFF"/>
        <w:spacing w:line="560" w:lineRule="exact"/>
        <w:jc w:val="left"/>
        <w:rPr>
          <w:rFonts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二、报价明细</w:t>
      </w:r>
    </w:p>
    <w:tbl>
      <w:tblPr>
        <w:tblStyle w:val="6"/>
        <w:tblW w:w="10393" w:type="dxa"/>
        <w:tblInd w:w="-1036"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1068"/>
        <w:gridCol w:w="1517"/>
        <w:gridCol w:w="3628"/>
        <w:gridCol w:w="2090"/>
        <w:gridCol w:w="2090"/>
      </w:tblGrid>
      <w:tr w14:paraId="158D2B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10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587B25">
            <w:pPr>
              <w:widowControl/>
              <w:spacing w:line="560" w:lineRule="exact"/>
              <w:jc w:val="center"/>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rPr>
              <w:t>序号</w:t>
            </w:r>
          </w:p>
        </w:tc>
        <w:tc>
          <w:tcPr>
            <w:tcW w:w="15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A3EF00">
            <w:pPr>
              <w:widowControl/>
              <w:spacing w:line="560" w:lineRule="exact"/>
              <w:jc w:val="center"/>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rPr>
              <w:t>服务项目</w:t>
            </w:r>
          </w:p>
        </w:tc>
        <w:tc>
          <w:tcPr>
            <w:tcW w:w="36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DBA2208">
            <w:pPr>
              <w:widowControl/>
              <w:spacing w:line="560" w:lineRule="exact"/>
              <w:jc w:val="center"/>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rPr>
              <w:t>服务内容</w:t>
            </w:r>
          </w:p>
        </w:tc>
        <w:tc>
          <w:tcPr>
            <w:tcW w:w="2090" w:type="dxa"/>
            <w:tcBorders>
              <w:top w:val="single" w:color="000000" w:sz="8" w:space="0"/>
              <w:left w:val="single" w:color="000000" w:sz="8" w:space="0"/>
              <w:bottom w:val="single" w:color="000000" w:sz="8" w:space="0"/>
              <w:right w:val="single" w:color="000000" w:sz="8" w:space="0"/>
            </w:tcBorders>
            <w:shd w:val="clear" w:color="auto" w:fill="FFFFFF"/>
          </w:tcPr>
          <w:p w14:paraId="16E06C7E">
            <w:pPr>
              <w:widowControl/>
              <w:spacing w:line="560" w:lineRule="exact"/>
              <w:jc w:val="center"/>
              <w:rPr>
                <w:rFonts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计费</w:t>
            </w:r>
            <w:r>
              <w:rPr>
                <w:rFonts w:ascii="仿宋_GB2312" w:hAnsi="仿宋_GB2312" w:eastAsia="仿宋_GB2312" w:cs="仿宋_GB2312"/>
                <w:b/>
                <w:bCs/>
                <w:color w:val="000000"/>
                <w:kern w:val="0"/>
                <w:sz w:val="32"/>
                <w:szCs w:val="32"/>
              </w:rPr>
              <w:t>基数</w:t>
            </w:r>
          </w:p>
        </w:tc>
        <w:tc>
          <w:tcPr>
            <w:tcW w:w="209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54FBED">
            <w:pPr>
              <w:widowControl/>
              <w:spacing w:line="560" w:lineRule="exact"/>
              <w:jc w:val="center"/>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rPr>
              <w:t>费用（元）</w:t>
            </w:r>
          </w:p>
        </w:tc>
      </w:tr>
      <w:tr w14:paraId="11A742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10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FE1068">
            <w:pPr>
              <w:widowControl/>
              <w:spacing w:line="560" w:lineRule="exact"/>
              <w:ind w:firstLine="420" w:firstLineChars="200"/>
              <w:rPr>
                <w:rFonts w:ascii="仿宋_GB2312" w:hAnsi="仿宋_GB2312" w:eastAsia="仿宋_GB2312" w:cs="仿宋_GB2312"/>
                <w:color w:val="000000"/>
              </w:rPr>
            </w:pPr>
          </w:p>
        </w:tc>
        <w:tc>
          <w:tcPr>
            <w:tcW w:w="15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D87044">
            <w:pPr>
              <w:widowControl/>
              <w:spacing w:line="560" w:lineRule="exact"/>
              <w:rPr>
                <w:rFonts w:ascii="仿宋_GB2312" w:hAnsi="仿宋_GB2312" w:eastAsia="仿宋_GB2312" w:cs="仿宋_GB2312"/>
                <w:color w:val="000000"/>
              </w:rPr>
            </w:pPr>
          </w:p>
        </w:tc>
        <w:tc>
          <w:tcPr>
            <w:tcW w:w="36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AFB63A">
            <w:pPr>
              <w:widowControl/>
              <w:spacing w:line="560" w:lineRule="exact"/>
              <w:jc w:val="center"/>
              <w:rPr>
                <w:rFonts w:ascii="仿宋_GB2312" w:hAnsi="仿宋_GB2312" w:cs="仿宋_GB2312"/>
                <w:color w:val="000000"/>
              </w:rPr>
            </w:pPr>
          </w:p>
        </w:tc>
        <w:tc>
          <w:tcPr>
            <w:tcW w:w="2090" w:type="dxa"/>
            <w:tcBorders>
              <w:top w:val="single" w:color="000000" w:sz="8" w:space="0"/>
              <w:left w:val="single" w:color="000000" w:sz="8" w:space="0"/>
              <w:bottom w:val="single" w:color="000000" w:sz="8" w:space="0"/>
              <w:right w:val="single" w:color="000000" w:sz="8" w:space="0"/>
            </w:tcBorders>
            <w:shd w:val="clear" w:color="auto" w:fill="FFFFFF"/>
          </w:tcPr>
          <w:p w14:paraId="561C60BF">
            <w:pPr>
              <w:widowControl/>
              <w:spacing w:line="560" w:lineRule="exact"/>
              <w:jc w:val="center"/>
              <w:rPr>
                <w:rFonts w:ascii="仿宋_GB2312" w:hAnsi="仿宋_GB2312" w:eastAsia="仿宋_GB2312" w:cs="仿宋_GB2312"/>
                <w:color w:val="000000"/>
              </w:rPr>
            </w:pPr>
          </w:p>
        </w:tc>
        <w:tc>
          <w:tcPr>
            <w:tcW w:w="209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CC219B">
            <w:pPr>
              <w:widowControl/>
              <w:spacing w:line="560" w:lineRule="exact"/>
              <w:jc w:val="center"/>
              <w:rPr>
                <w:rFonts w:ascii="仿宋_GB2312" w:hAnsi="仿宋_GB2312" w:eastAsia="仿宋_GB2312" w:cs="仿宋_GB2312"/>
                <w:color w:val="000000"/>
              </w:rPr>
            </w:pPr>
          </w:p>
        </w:tc>
      </w:tr>
      <w:tr w14:paraId="225C28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106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169FEB3">
            <w:pPr>
              <w:widowControl/>
              <w:spacing w:line="560" w:lineRule="exact"/>
              <w:ind w:firstLine="420" w:firstLineChars="200"/>
              <w:rPr>
                <w:rFonts w:ascii="仿宋_GB2312" w:hAnsi="仿宋_GB2312" w:eastAsia="仿宋_GB2312" w:cs="仿宋_GB2312"/>
                <w:color w:val="000000"/>
              </w:rPr>
            </w:pPr>
          </w:p>
        </w:tc>
        <w:tc>
          <w:tcPr>
            <w:tcW w:w="15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1E7B57">
            <w:pPr>
              <w:widowControl/>
              <w:spacing w:line="560" w:lineRule="exact"/>
              <w:rPr>
                <w:rFonts w:ascii="仿宋_GB2312" w:hAnsi="仿宋_GB2312" w:eastAsia="仿宋_GB2312" w:cs="仿宋_GB2312"/>
                <w:color w:val="000000"/>
              </w:rPr>
            </w:pPr>
          </w:p>
        </w:tc>
        <w:tc>
          <w:tcPr>
            <w:tcW w:w="362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63C60D">
            <w:pPr>
              <w:widowControl/>
              <w:tabs>
                <w:tab w:val="left" w:pos="583"/>
              </w:tabs>
              <w:spacing w:line="560" w:lineRule="exact"/>
              <w:ind w:firstLine="1050" w:firstLineChars="500"/>
              <w:rPr>
                <w:rFonts w:ascii="仿宋_GB2312" w:hAnsi="仿宋_GB2312" w:cs="仿宋_GB2312"/>
                <w:color w:val="000000"/>
              </w:rPr>
            </w:pPr>
          </w:p>
        </w:tc>
        <w:tc>
          <w:tcPr>
            <w:tcW w:w="2090" w:type="dxa"/>
            <w:tcBorders>
              <w:top w:val="single" w:color="000000" w:sz="8" w:space="0"/>
              <w:left w:val="single" w:color="000000" w:sz="8" w:space="0"/>
              <w:bottom w:val="single" w:color="000000" w:sz="8" w:space="0"/>
              <w:right w:val="single" w:color="000000" w:sz="8" w:space="0"/>
            </w:tcBorders>
            <w:shd w:val="clear" w:color="auto" w:fill="FFFFFF"/>
          </w:tcPr>
          <w:p w14:paraId="14FEB28D">
            <w:pPr>
              <w:widowControl/>
              <w:spacing w:line="560" w:lineRule="exact"/>
              <w:jc w:val="center"/>
              <w:rPr>
                <w:rFonts w:ascii="仿宋_GB2312" w:hAnsi="仿宋_GB2312" w:eastAsia="仿宋_GB2312" w:cs="仿宋_GB2312"/>
                <w:color w:val="000000"/>
              </w:rPr>
            </w:pPr>
          </w:p>
        </w:tc>
        <w:tc>
          <w:tcPr>
            <w:tcW w:w="209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3D7B94">
            <w:pPr>
              <w:widowControl/>
              <w:spacing w:line="560" w:lineRule="exact"/>
              <w:jc w:val="center"/>
              <w:rPr>
                <w:rFonts w:ascii="仿宋_GB2312" w:hAnsi="仿宋_GB2312" w:eastAsia="仿宋_GB2312" w:cs="仿宋_GB2312"/>
                <w:color w:val="000000"/>
              </w:rPr>
            </w:pPr>
          </w:p>
        </w:tc>
      </w:tr>
      <w:tr w14:paraId="5C3BA2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6213"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3177CE47">
            <w:pPr>
              <w:widowControl/>
              <w:spacing w:line="560" w:lineRule="exact"/>
              <w:jc w:val="center"/>
              <w:rPr>
                <w:rFonts w:ascii="仿宋_GB2312" w:hAnsi="仿宋_GB2312" w:eastAsia="仿宋_GB2312" w:cs="仿宋_GB2312"/>
                <w:color w:val="000000"/>
              </w:rPr>
            </w:pPr>
            <w:r>
              <w:rPr>
                <w:rFonts w:hint="eastAsia" w:ascii="仿宋_GB2312" w:hAnsi="仿宋_GB2312" w:eastAsia="仿宋_GB2312" w:cs="仿宋_GB2312"/>
                <w:b/>
                <w:bCs/>
                <w:color w:val="000000"/>
                <w:kern w:val="0"/>
                <w:sz w:val="32"/>
                <w:szCs w:val="32"/>
              </w:rPr>
              <w:t>合计</w:t>
            </w:r>
          </w:p>
        </w:tc>
        <w:tc>
          <w:tcPr>
            <w:tcW w:w="2090" w:type="dxa"/>
            <w:tcBorders>
              <w:top w:val="single" w:color="000000" w:sz="8" w:space="0"/>
              <w:left w:val="single" w:color="000000" w:sz="8" w:space="0"/>
              <w:bottom w:val="single" w:color="000000" w:sz="8" w:space="0"/>
              <w:right w:val="single" w:color="000000" w:sz="8" w:space="0"/>
            </w:tcBorders>
            <w:shd w:val="clear" w:color="auto" w:fill="FFFFFF"/>
          </w:tcPr>
          <w:p w14:paraId="309F0F57">
            <w:pPr>
              <w:widowControl/>
              <w:spacing w:line="560" w:lineRule="exact"/>
              <w:jc w:val="center"/>
              <w:rPr>
                <w:rFonts w:ascii="仿宋_GB2312" w:hAnsi="仿宋_GB2312" w:eastAsia="仿宋_GB2312" w:cs="仿宋_GB2312"/>
                <w:color w:val="000000"/>
                <w:kern w:val="0"/>
              </w:rPr>
            </w:pPr>
          </w:p>
        </w:tc>
        <w:tc>
          <w:tcPr>
            <w:tcW w:w="209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3D4AB5">
            <w:pPr>
              <w:widowControl/>
              <w:spacing w:line="560" w:lineRule="exact"/>
              <w:jc w:val="center"/>
              <w:rPr>
                <w:rFonts w:ascii="仿宋_GB2312" w:hAnsi="仿宋_GB2312" w:eastAsia="仿宋_GB2312" w:cs="仿宋_GB2312"/>
                <w:color w:val="000000"/>
              </w:rPr>
            </w:pPr>
            <w:r>
              <w:rPr>
                <w:rFonts w:hint="eastAsia" w:ascii="仿宋_GB2312" w:hAnsi="仿宋_GB2312" w:eastAsia="仿宋_GB2312" w:cs="仿宋_GB2312"/>
                <w:color w:val="000000"/>
                <w:kern w:val="0"/>
              </w:rPr>
              <w:t>含税X（大写：X X X）</w:t>
            </w:r>
          </w:p>
        </w:tc>
      </w:tr>
    </w:tbl>
    <w:p w14:paraId="2924F4F5">
      <w:pPr>
        <w:pStyle w:val="5"/>
        <w:widowControl/>
        <w:shd w:val="clear" w:color="auto" w:fill="FFFFFF"/>
        <w:spacing w:before="0" w:beforeAutospacing="0" w:after="0" w:afterAutospacing="0" w:line="560" w:lineRule="exact"/>
        <w:ind w:firstLine="643"/>
        <w:rPr>
          <w:rFonts w:ascii="仿宋_GB2312" w:hAnsi="仿宋_GB2312" w:eastAsia="仿宋_GB2312" w:cs="仿宋_GB2312"/>
          <w:b/>
          <w:bCs/>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rPr>
        <w:t>三、具体需求响应情况</w:t>
      </w:r>
    </w:p>
    <w:p w14:paraId="33BC1CBD">
      <w:pPr>
        <w:pStyle w:val="5"/>
        <w:widowControl/>
        <w:shd w:val="clear" w:color="auto" w:fill="FFFFFF"/>
        <w:spacing w:before="0" w:beforeAutospacing="0" w:after="0" w:afterAutospacing="0" w:line="560" w:lineRule="exact"/>
        <w:ind w:firstLine="64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完全满足本项目需求。</w:t>
      </w:r>
    </w:p>
    <w:p w14:paraId="25E21547">
      <w:pPr>
        <w:pStyle w:val="5"/>
        <w:widowControl/>
        <w:shd w:val="clear" w:color="auto" w:fill="FFFFFF"/>
        <w:spacing w:before="0" w:beforeAutospacing="0" w:after="0" w:afterAutospacing="0" w:line="560" w:lineRule="exact"/>
        <w:ind w:firstLine="643"/>
        <w:rPr>
          <w:rFonts w:ascii="仿宋_GB2312" w:hAnsi="仿宋_GB2312" w:eastAsia="仿宋_GB2312" w:cs="仿宋_GB2312"/>
          <w:b/>
          <w:bCs/>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rPr>
        <w:t>四、供应商资格条件</w:t>
      </w:r>
    </w:p>
    <w:p w14:paraId="19D753E6">
      <w:pPr>
        <w:pStyle w:val="5"/>
        <w:widowControl/>
        <w:shd w:val="clear" w:color="auto" w:fill="FFFFFF"/>
        <w:spacing w:before="0" w:beforeAutospacing="0" w:after="0" w:afterAutospacing="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完全满足本项目资格要求。</w:t>
      </w:r>
    </w:p>
    <w:p w14:paraId="2019F978">
      <w:pPr>
        <w:widowControl/>
        <w:shd w:val="clear" w:color="auto" w:fill="FFFFFF"/>
        <w:spacing w:line="560" w:lineRule="exact"/>
        <w:ind w:firstLine="4800" w:firstLineChars="1500"/>
        <w:jc w:val="left"/>
        <w:rPr>
          <w:rFonts w:ascii="仿宋_GB2312" w:hAnsi="仿宋_GB2312" w:eastAsia="仿宋_GB2312" w:cs="仿宋_GB2312"/>
          <w:color w:val="000000"/>
          <w:kern w:val="0"/>
          <w:sz w:val="32"/>
          <w:szCs w:val="32"/>
          <w:shd w:val="clear" w:color="auto" w:fill="FFFFFF"/>
        </w:rPr>
      </w:pPr>
    </w:p>
    <w:p w14:paraId="17B12DDD">
      <w:pPr>
        <w:widowControl/>
        <w:shd w:val="clear" w:color="auto" w:fill="FFFFFF"/>
        <w:spacing w:line="560" w:lineRule="exact"/>
        <w:ind w:firstLine="4800" w:firstLineChars="15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XXX公司（需加盖公章）</w:t>
      </w:r>
    </w:p>
    <w:p w14:paraId="6D01DDC6">
      <w:pPr>
        <w:widowControl/>
        <w:shd w:val="clear" w:color="auto" w:fill="FFFFFF"/>
        <w:spacing w:line="560" w:lineRule="exact"/>
        <w:ind w:firstLine="640" w:firstLineChars="200"/>
        <w:jc w:val="right"/>
      </w:pPr>
      <w:r>
        <w:rPr>
          <w:rFonts w:hint="eastAsia" w:ascii="仿宋_GB2312" w:hAnsi="仿宋_GB2312" w:eastAsia="仿宋_GB2312" w:cs="仿宋_GB2312"/>
          <w:color w:val="000000"/>
          <w:kern w:val="0"/>
          <w:sz w:val="32"/>
          <w:szCs w:val="32"/>
          <w:shd w:val="clear" w:color="auto" w:fill="FFFFFF"/>
        </w:rPr>
        <w:t>2026年XX月XX日</w:t>
      </w:r>
    </w:p>
    <w:p w14:paraId="77ED9624"/>
    <w:sectPr>
      <w:footerReference r:id="rId3"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2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7EF89">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4817784">
                          <w:pPr>
                            <w:pStyle w:val="3"/>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- 1 -</w:t>
                          </w:r>
                          <w:r>
                            <w:rPr>
                              <w:rFonts w:hint="eastAsia" w:ascii="宋体" w:hAnsi="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UJ8kWxgEAAJsDAAAOAAAAAAAAAAEAIAAAAB4BAABkcnMvZTJvRG9jLnht&#10;bFBLBQYAAAAABgAGAFkBAABWBQAAAAA=&#10;">
              <v:fill on="f" focussize="0,0"/>
              <v:stroke on="f"/>
              <v:imagedata o:title=""/>
              <o:lock v:ext="edit" aspectratio="f"/>
              <v:textbox inset="0mm,0mm,0mm,0mm" style="mso-fit-shape-to-text:t;">
                <w:txbxContent>
                  <w:p w14:paraId="24817784">
                    <w:pPr>
                      <w:pStyle w:val="3"/>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- 1 -</w:t>
                    </w:r>
                    <w:r>
                      <w:rPr>
                        <w:rFonts w:hint="eastAsia" w:ascii="宋体" w:hAnsi="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6F5A40"/>
    <w:multiLevelType w:val="multilevel"/>
    <w:tmpl w:val="076F5A40"/>
    <w:lvl w:ilvl="0" w:tentative="0">
      <w:start w:val="1"/>
      <w:numFmt w:val="japaneseCounting"/>
      <w:lvlText w:val="%1、"/>
      <w:lvlJc w:val="left"/>
      <w:pPr>
        <w:ind w:left="720" w:hanging="7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
    <w:nsid w:val="36A22DAD"/>
    <w:multiLevelType w:val="multilevel"/>
    <w:tmpl w:val="36A22DAD"/>
    <w:lvl w:ilvl="0" w:tentative="0">
      <w:start w:val="1"/>
      <w:numFmt w:val="japaneseCounting"/>
      <w:lvlText w:val="（%1）"/>
      <w:lvlJc w:val="left"/>
      <w:pPr>
        <w:ind w:left="855" w:hanging="855"/>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hZGJmNmI0NWM0MDFlZWM1NzBjNmVmYzM1ZWJiYjUifQ=="/>
  </w:docVars>
  <w:rsids>
    <w:rsidRoot w:val="00AE5B69"/>
    <w:rsid w:val="0007281C"/>
    <w:rsid w:val="001478D2"/>
    <w:rsid w:val="00183155"/>
    <w:rsid w:val="001B6F87"/>
    <w:rsid w:val="001D2A84"/>
    <w:rsid w:val="00232649"/>
    <w:rsid w:val="00374CDC"/>
    <w:rsid w:val="003C46B7"/>
    <w:rsid w:val="00454FB0"/>
    <w:rsid w:val="005407C9"/>
    <w:rsid w:val="00546513"/>
    <w:rsid w:val="007B0207"/>
    <w:rsid w:val="007F3C48"/>
    <w:rsid w:val="00801BFD"/>
    <w:rsid w:val="00811A5E"/>
    <w:rsid w:val="009E167E"/>
    <w:rsid w:val="009E379E"/>
    <w:rsid w:val="00A42796"/>
    <w:rsid w:val="00A84850"/>
    <w:rsid w:val="00AC76CC"/>
    <w:rsid w:val="00AE5B69"/>
    <w:rsid w:val="00BC18F0"/>
    <w:rsid w:val="00C730F7"/>
    <w:rsid w:val="00CE3675"/>
    <w:rsid w:val="00E144A9"/>
    <w:rsid w:val="00E83C1E"/>
    <w:rsid w:val="00F30D47"/>
    <w:rsid w:val="048A5935"/>
    <w:rsid w:val="0B153246"/>
    <w:rsid w:val="21BA7C55"/>
    <w:rsid w:val="28C47BDD"/>
    <w:rsid w:val="31D945F7"/>
    <w:rsid w:val="3FFE05FA"/>
    <w:rsid w:val="47137B7B"/>
    <w:rsid w:val="74C0311E"/>
    <w:rsid w:val="7D895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before="50" w:after="50" w:afterLines="50"/>
    </w:pPr>
  </w:style>
  <w:style w:type="paragraph" w:styleId="3">
    <w:name w:val="footer"/>
    <w:basedOn w:val="1"/>
    <w:link w:val="9"/>
    <w:unhideWhenUsed/>
    <w:qFormat/>
    <w:uiPriority w:val="0"/>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cs="Times New Roman"/>
      <w:kern w:val="0"/>
      <w:sz w:val="24"/>
      <w:szCs w:val="24"/>
    </w:rPr>
  </w:style>
  <w:style w:type="character" w:styleId="8">
    <w:name w:val="Strong"/>
    <w:qFormat/>
    <w:uiPriority w:val="0"/>
    <w:rPr>
      <w:b/>
    </w:rPr>
  </w:style>
  <w:style w:type="character" w:customStyle="1" w:styleId="9">
    <w:name w:val="页脚 Char"/>
    <w:link w:val="3"/>
    <w:qFormat/>
    <w:uiPriority w:val="99"/>
    <w:rPr>
      <w:sz w:val="18"/>
      <w:szCs w:val="18"/>
    </w:rPr>
  </w:style>
  <w:style w:type="character" w:customStyle="1" w:styleId="10">
    <w:name w:val="页眉 Char"/>
    <w:link w:val="4"/>
    <w:qFormat/>
    <w:uiPriority w:val="99"/>
    <w:rPr>
      <w:sz w:val="18"/>
      <w:szCs w:val="18"/>
    </w:rPr>
  </w:style>
  <w:style w:type="paragraph" w:styleId="11">
    <w:name w:val="List Paragraph"/>
    <w:basedOn w:val="1"/>
    <w:qFormat/>
    <w:uiPriority w:val="99"/>
    <w:pPr>
      <w:ind w:firstLine="420" w:firstLineChars="200"/>
    </w:pPr>
  </w:style>
  <w:style w:type="paragraph" w:customStyle="1" w:styleId="12">
    <w:name w:val="RJ正文"/>
    <w:qFormat/>
    <w:uiPriority w:val="0"/>
    <w:pPr>
      <w:ind w:firstLine="200" w:firstLineChars="200"/>
      <w:jc w:val="both"/>
    </w:pPr>
    <w:rPr>
      <w:rFonts w:ascii="Times New Roman" w:hAnsi="Times New Roman" w:eastAsia="仿宋"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3152</Words>
  <Characters>3458</Characters>
  <Lines>16</Lines>
  <Paragraphs>4</Paragraphs>
  <TotalTime>4</TotalTime>
  <ScaleCrop>false</ScaleCrop>
  <LinksUpToDate>false</LinksUpToDate>
  <CharactersWithSpaces>3464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2026-06-09T08:39:00Z</dcterms:created>
  <dc:creator>Administrator</dc:creator>
  <cp:lastModifiedBy>李政权</cp:lastModifiedBy>
  <dcterms:modified xsi:type="dcterms:W3CDTF">2026-09-04T03:12:42Z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eyJoZGlkIjoiZjM1OTY5OTNjZDZhZjU1YTRlZjljOTliZDNkNjVkZWYiLCJ1c2VySWQiOiIyODg5MTE5MzYifQ==</vt:lpwstr>
  </property>
  <property fmtid="{D5CDD505-2E9C-101B-9397-08002B2CF9AE}" pid="4" name="ICV">
    <vt:lpwstr>71DEAA396DB64917B1E50557F727AF44_13</vt:lpwstr>
  </property>
</Properties>
</file>